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B17D96D">
      <w:pPr>
        <w:spacing w:line="282" w:lineRule="auto"/>
        <w:rPr>
          <w:rFonts w:ascii="Arial"/>
          <w:sz w:val="21"/>
        </w:rPr>
      </w:pPr>
    </w:p>
    <w:p w14:paraId="468397A4">
      <w:pPr>
        <w:spacing w:line="283" w:lineRule="auto"/>
        <w:rPr>
          <w:rFonts w:ascii="Arial"/>
          <w:sz w:val="21"/>
        </w:rPr>
      </w:pPr>
    </w:p>
    <w:p w14:paraId="6D282DA0">
      <w:pPr>
        <w:spacing w:line="283" w:lineRule="auto"/>
        <w:rPr>
          <w:rFonts w:ascii="Arial"/>
          <w:sz w:val="21"/>
        </w:rPr>
      </w:pPr>
    </w:p>
    <w:p w14:paraId="66D4B5DB">
      <w:pPr>
        <w:spacing w:before="208" w:line="217" w:lineRule="auto"/>
        <w:ind w:left="569"/>
        <w:rPr>
          <w:rFonts w:ascii="宋体" w:hAnsi="宋体" w:eastAsia="宋体" w:cs="宋体"/>
          <w:sz w:val="64"/>
          <w:szCs w:val="64"/>
        </w:rPr>
      </w:pP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项</w:t>
      </w:r>
      <w:r>
        <w:rPr>
          <w:rFonts w:ascii="宋体" w:hAnsi="宋体" w:eastAsia="宋体" w:cs="宋体"/>
          <w:color w:val="DA234D"/>
          <w:spacing w:val="135"/>
          <w:sz w:val="64"/>
          <w:szCs w:val="64"/>
        </w:rPr>
        <w:t xml:space="preserve"> </w:t>
      </w: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城</w:t>
      </w:r>
      <w:r>
        <w:rPr>
          <w:rFonts w:ascii="宋体" w:hAnsi="宋体" w:eastAsia="宋体" w:cs="宋体"/>
          <w:color w:val="DA234D"/>
          <w:spacing w:val="145"/>
          <w:sz w:val="64"/>
          <w:szCs w:val="64"/>
        </w:rPr>
        <w:t xml:space="preserve"> </w:t>
      </w: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市</w:t>
      </w:r>
      <w:r>
        <w:rPr>
          <w:rFonts w:ascii="宋体" w:hAnsi="宋体" w:eastAsia="宋体" w:cs="宋体"/>
          <w:color w:val="DA234D"/>
          <w:spacing w:val="129"/>
          <w:sz w:val="64"/>
          <w:szCs w:val="64"/>
        </w:rPr>
        <w:t xml:space="preserve"> </w:t>
      </w: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城</w:t>
      </w:r>
      <w:r>
        <w:rPr>
          <w:rFonts w:ascii="宋体" w:hAnsi="宋体" w:eastAsia="宋体" w:cs="宋体"/>
          <w:color w:val="DA234D"/>
          <w:spacing w:val="146"/>
          <w:sz w:val="64"/>
          <w:szCs w:val="64"/>
        </w:rPr>
        <w:t xml:space="preserve"> </w:t>
      </w: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市</w:t>
      </w:r>
      <w:r>
        <w:rPr>
          <w:rFonts w:ascii="宋体" w:hAnsi="宋体" w:eastAsia="宋体" w:cs="宋体"/>
          <w:color w:val="DA234D"/>
          <w:spacing w:val="143"/>
          <w:sz w:val="64"/>
          <w:szCs w:val="64"/>
        </w:rPr>
        <w:t xml:space="preserve"> </w:t>
      </w: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管</w:t>
      </w:r>
      <w:r>
        <w:rPr>
          <w:rFonts w:ascii="宋体" w:hAnsi="宋体" w:eastAsia="宋体" w:cs="宋体"/>
          <w:color w:val="DA234D"/>
          <w:spacing w:val="137"/>
          <w:sz w:val="64"/>
          <w:szCs w:val="64"/>
        </w:rPr>
        <w:t xml:space="preserve"> </w:t>
      </w: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理</w:t>
      </w:r>
      <w:r>
        <w:rPr>
          <w:rFonts w:ascii="宋体" w:hAnsi="宋体" w:eastAsia="宋体" w:cs="宋体"/>
          <w:color w:val="DA234D"/>
          <w:spacing w:val="136"/>
          <w:sz w:val="64"/>
          <w:szCs w:val="64"/>
        </w:rPr>
        <w:t xml:space="preserve"> </w:t>
      </w:r>
      <w:r>
        <w:rPr>
          <w:rFonts w:ascii="宋体" w:hAnsi="宋体" w:eastAsia="宋体" w:cs="宋体"/>
          <w:b/>
          <w:bCs/>
          <w:color w:val="DA234D"/>
          <w:spacing w:val="-38"/>
          <w:sz w:val="64"/>
          <w:szCs w:val="64"/>
        </w:rPr>
        <w:t>局</w:t>
      </w:r>
    </w:p>
    <w:p w14:paraId="6E028D0C">
      <w:pPr>
        <w:spacing w:line="60" w:lineRule="exact"/>
        <w:ind w:firstLine="169"/>
      </w:pPr>
      <w:r>
        <w:rPr>
          <w:position w:val="-1"/>
        </w:rPr>
        <w:drawing>
          <wp:inline distT="0" distB="0" distL="0" distR="0">
            <wp:extent cx="5524500" cy="38100"/>
            <wp:effectExtent l="0" t="0" r="0" b="0"/>
            <wp:docPr id="4" name="IM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 4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524505" cy="381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6CA2D7">
      <w:pPr>
        <w:spacing w:line="267" w:lineRule="auto"/>
        <w:rPr>
          <w:rFonts w:ascii="Arial"/>
          <w:sz w:val="21"/>
        </w:rPr>
      </w:pPr>
    </w:p>
    <w:p w14:paraId="184CB076">
      <w:pPr>
        <w:spacing w:line="268" w:lineRule="auto"/>
        <w:rPr>
          <w:rFonts w:ascii="Arial"/>
          <w:sz w:val="21"/>
        </w:rPr>
      </w:pPr>
    </w:p>
    <w:p w14:paraId="0CD9DBFA">
      <w:pPr>
        <w:spacing w:before="143" w:line="219" w:lineRule="auto"/>
        <w:ind w:left="284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13"/>
          <w:sz w:val="44"/>
          <w:szCs w:val="44"/>
        </w:rPr>
        <w:t>项城市城市管理局</w:t>
      </w:r>
    </w:p>
    <w:p w14:paraId="6BF9B679">
      <w:pPr>
        <w:spacing w:before="63" w:line="218" w:lineRule="auto"/>
        <w:ind w:left="716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16"/>
          <w:sz w:val="44"/>
          <w:szCs w:val="44"/>
        </w:rPr>
        <w:t>关于餐饮服务业非现场监管情况的报告</w:t>
      </w:r>
    </w:p>
    <w:p w14:paraId="21F27644">
      <w:pPr>
        <w:spacing w:line="317" w:lineRule="auto"/>
        <w:rPr>
          <w:rFonts w:ascii="Arial"/>
          <w:sz w:val="21"/>
        </w:rPr>
      </w:pPr>
    </w:p>
    <w:p w14:paraId="0A542C0C">
      <w:pPr>
        <w:spacing w:line="318" w:lineRule="auto"/>
        <w:rPr>
          <w:rFonts w:ascii="Arial"/>
          <w:sz w:val="21"/>
        </w:rPr>
      </w:pPr>
    </w:p>
    <w:p w14:paraId="3800A42C">
      <w:pPr>
        <w:pStyle w:val="2"/>
        <w:spacing w:before="101" w:line="363" w:lineRule="auto"/>
        <w:ind w:left="309" w:right="444" w:firstLine="610"/>
      </w:pPr>
      <w:r>
        <w:rPr>
          <w:spacing w:val="2"/>
        </w:rPr>
        <w:t>2024年，根据上级要求，项城市城市管理局高度重视，</w:t>
      </w:r>
      <w:r>
        <w:rPr>
          <w:spacing w:val="12"/>
        </w:rPr>
        <w:t xml:space="preserve"> </w:t>
      </w:r>
      <w:r>
        <w:rPr>
          <w:spacing w:val="-1"/>
        </w:rPr>
        <w:t>采取有力措施，认真开展餐饮服务业非现场监管工作。</w:t>
      </w:r>
    </w:p>
    <w:p w14:paraId="4226E146">
      <w:pPr>
        <w:spacing w:before="1" w:line="221" w:lineRule="auto"/>
        <w:ind w:left="924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pacing w:val="-1"/>
          <w:sz w:val="31"/>
          <w:szCs w:val="31"/>
        </w:rPr>
        <w:t>一、工作开展情况</w:t>
      </w:r>
    </w:p>
    <w:p w14:paraId="7F85423B">
      <w:pPr>
        <w:pStyle w:val="2"/>
        <w:spacing w:before="250" w:line="335" w:lineRule="auto"/>
        <w:ind w:left="309" w:right="169" w:firstLine="780"/>
      </w:pPr>
      <w:r>
        <w:rPr>
          <w:spacing w:val="5"/>
        </w:rPr>
        <w:t>(一)依托餐饮油烟在线监测平台系统，综合运用大数</w:t>
      </w:r>
      <w:r>
        <w:rPr>
          <w:spacing w:val="6"/>
        </w:rPr>
        <w:t xml:space="preserve">   </w:t>
      </w:r>
      <w:r>
        <w:rPr>
          <w:spacing w:val="-1"/>
        </w:rPr>
        <w:t>据和信息化手段，收集餐饮服务业餐厨日常数据，对信息进</w:t>
      </w:r>
      <w:r>
        <w:rPr>
          <w:spacing w:val="1"/>
        </w:rPr>
        <w:t xml:space="preserve">   </w:t>
      </w:r>
      <w:r>
        <w:rPr>
          <w:spacing w:val="-1"/>
        </w:rPr>
        <w:t>行分析处理，及时作出风险预警，并采取相应措施，督促指</w:t>
      </w:r>
      <w:r>
        <w:t xml:space="preserve">   </w:t>
      </w:r>
      <w:r>
        <w:rPr>
          <w:spacing w:val="1"/>
        </w:rPr>
        <w:t>导餐饮服务业整改问题、合规经营。积极探</w:t>
      </w:r>
      <w:r>
        <w:t xml:space="preserve">索开展“非现场” 监管，提升执法人员监管能力，推进行政执法精准化、规范   </w:t>
      </w:r>
      <w:r>
        <w:rPr>
          <w:spacing w:val="-16"/>
        </w:rPr>
        <w:t>化。</w:t>
      </w:r>
    </w:p>
    <w:p w14:paraId="4048601D">
      <w:pPr>
        <w:pStyle w:val="2"/>
        <w:spacing w:before="264" w:line="324" w:lineRule="auto"/>
        <w:ind w:left="309" w:right="503" w:firstLine="770"/>
      </w:pPr>
      <w:r>
        <w:rPr>
          <w:spacing w:val="6"/>
        </w:rPr>
        <w:t>(二)通过非现场监管，对餐饮服务业的日常操作产生</w:t>
      </w:r>
      <w:r>
        <w:rPr>
          <w:spacing w:val="10"/>
        </w:rPr>
        <w:t xml:space="preserve"> </w:t>
      </w:r>
      <w:r>
        <w:t>的餐厨油烟进行持续监测，采取提高信息报送频</w:t>
      </w:r>
      <w:r>
        <w:rPr>
          <w:spacing w:val="-1"/>
        </w:rPr>
        <w:t>率、进行风</w:t>
      </w:r>
      <w:r>
        <w:t xml:space="preserve"> </w:t>
      </w:r>
      <w:r>
        <w:rPr>
          <w:spacing w:val="-1"/>
        </w:rPr>
        <w:t>险提示和监管通报、开展监管谈话、提高现场检查频次等监</w:t>
      </w:r>
      <w:r>
        <w:rPr>
          <w:spacing w:val="15"/>
        </w:rPr>
        <w:t xml:space="preserve"> </w:t>
      </w:r>
      <w:r>
        <w:rPr>
          <w:spacing w:val="-4"/>
        </w:rPr>
        <w:t>管措施。切实加强餐饮服务业监管。</w:t>
      </w:r>
    </w:p>
    <w:p w14:paraId="3C759C7C">
      <w:pPr>
        <w:spacing w:before="222" w:line="222" w:lineRule="auto"/>
        <w:ind w:left="924"/>
        <w:outlineLvl w:val="0"/>
        <w:rPr>
          <w:rFonts w:ascii="黑体" w:hAnsi="黑体" w:eastAsia="黑体" w:cs="黑体"/>
          <w:sz w:val="31"/>
          <w:szCs w:val="31"/>
        </w:rPr>
      </w:pPr>
      <w:r>
        <w:rPr>
          <w:rFonts w:ascii="黑体" w:hAnsi="黑体" w:eastAsia="黑体" w:cs="黑体"/>
          <w:b/>
          <w:bCs/>
          <w:sz w:val="31"/>
          <w:szCs w:val="31"/>
        </w:rPr>
        <w:t>二、存在的问题</w:t>
      </w:r>
    </w:p>
    <w:p w14:paraId="427C1584">
      <w:pPr>
        <w:spacing w:line="222" w:lineRule="auto"/>
        <w:rPr>
          <w:rFonts w:ascii="黑体" w:hAnsi="黑体" w:eastAsia="黑体" w:cs="黑体"/>
          <w:sz w:val="31"/>
          <w:szCs w:val="31"/>
        </w:rPr>
        <w:sectPr>
          <w:footerReference r:id="rId5" w:type="default"/>
          <w:pgSz w:w="12150" w:h="17010"/>
          <w:pgMar w:top="1445" w:right="1809" w:bottom="2029" w:left="1470" w:header="0" w:footer="1969" w:gutter="0"/>
          <w:cols w:space="720" w:num="1"/>
        </w:sectPr>
      </w:pPr>
    </w:p>
    <w:p w14:paraId="7B441DA9">
      <w:pPr>
        <w:spacing w:line="336" w:lineRule="auto"/>
        <w:rPr>
          <w:rFonts w:ascii="Arial"/>
          <w:sz w:val="21"/>
        </w:rPr>
      </w:pPr>
    </w:p>
    <w:p w14:paraId="602EB803">
      <w:pPr>
        <w:pStyle w:val="2"/>
        <w:spacing w:before="97" w:line="352" w:lineRule="auto"/>
        <w:ind w:right="403" w:firstLine="609"/>
        <w:rPr>
          <w:sz w:val="30"/>
          <w:szCs w:val="30"/>
        </w:rPr>
      </w:pPr>
      <w:r>
        <w:rPr>
          <w:spacing w:val="6"/>
          <w:sz w:val="30"/>
          <w:szCs w:val="30"/>
        </w:rPr>
        <w:t>由于餐饮油烟管理工作时段特殊，专职监管人员有限，</w:t>
      </w:r>
      <w:r>
        <w:rPr>
          <w:spacing w:val="15"/>
          <w:sz w:val="30"/>
          <w:szCs w:val="30"/>
        </w:rPr>
        <w:t xml:space="preserve"> </w:t>
      </w:r>
      <w:r>
        <w:rPr>
          <w:spacing w:val="8"/>
          <w:sz w:val="30"/>
          <w:szCs w:val="30"/>
        </w:rPr>
        <w:t>存在着监管难度大的问题，需进一步提升监管水平。</w:t>
      </w:r>
    </w:p>
    <w:p w14:paraId="0DA1B409">
      <w:pPr>
        <w:spacing w:before="53" w:line="221" w:lineRule="auto"/>
        <w:ind w:left="614"/>
        <w:outlineLvl w:val="0"/>
        <w:rPr>
          <w:rFonts w:ascii="黑体" w:hAnsi="黑体" w:eastAsia="黑体" w:cs="黑体"/>
          <w:sz w:val="30"/>
          <w:szCs w:val="30"/>
        </w:rPr>
      </w:pPr>
      <w:r>
        <w:rPr>
          <w:rFonts w:ascii="黑体" w:hAnsi="黑体" w:eastAsia="黑体" w:cs="黑体"/>
          <w:b/>
          <w:bCs/>
          <w:spacing w:val="2"/>
          <w:sz w:val="30"/>
          <w:szCs w:val="30"/>
        </w:rPr>
        <w:t>三、意见建议</w:t>
      </w:r>
    </w:p>
    <w:p w14:paraId="2B8D567A">
      <w:pPr>
        <w:pStyle w:val="2"/>
        <w:spacing w:before="263" w:line="337" w:lineRule="auto"/>
        <w:ind w:right="313" w:firstLine="609"/>
        <w:rPr>
          <w:sz w:val="30"/>
          <w:szCs w:val="30"/>
        </w:rPr>
      </w:pPr>
      <w:r>
        <w:rPr>
          <w:spacing w:val="10"/>
          <w:sz w:val="30"/>
          <w:szCs w:val="30"/>
        </w:rPr>
        <w:t>建议开展非现场监管方面的培训交流，进一步提升部门</w:t>
      </w:r>
      <w:r>
        <w:rPr>
          <w:spacing w:val="9"/>
          <w:sz w:val="30"/>
          <w:szCs w:val="30"/>
        </w:rPr>
        <w:t xml:space="preserve"> </w:t>
      </w:r>
      <w:r>
        <w:rPr>
          <w:spacing w:val="3"/>
          <w:sz w:val="30"/>
          <w:szCs w:val="30"/>
        </w:rPr>
        <w:t>的非现场监管水平。</w:t>
      </w:r>
    </w:p>
    <w:p w14:paraId="547EA44C">
      <w:pPr>
        <w:pStyle w:val="2"/>
        <w:spacing w:before="141" w:line="356" w:lineRule="auto"/>
        <w:ind w:right="233" w:firstLine="609"/>
        <w:jc w:val="both"/>
        <w:rPr>
          <w:sz w:val="30"/>
          <w:szCs w:val="30"/>
        </w:rPr>
      </w:pPr>
      <w:r>
        <w:rPr>
          <w:spacing w:val="9"/>
          <w:sz w:val="30"/>
          <w:szCs w:val="30"/>
        </w:rPr>
        <w:t>下一步，我局将会在更多专业领域探索“非现场”监管</w:t>
      </w:r>
      <w:r>
        <w:rPr>
          <w:spacing w:val="15"/>
          <w:sz w:val="30"/>
          <w:szCs w:val="30"/>
        </w:rPr>
        <w:t xml:space="preserve"> </w:t>
      </w:r>
      <w:r>
        <w:rPr>
          <w:spacing w:val="9"/>
          <w:sz w:val="30"/>
          <w:szCs w:val="30"/>
        </w:rPr>
        <w:t>的运用场景，在实时全面、高效便捷、加快推进</w:t>
      </w:r>
      <w:r>
        <w:rPr>
          <w:spacing w:val="8"/>
          <w:sz w:val="30"/>
          <w:szCs w:val="30"/>
        </w:rPr>
        <w:t>地方餐饮服</w:t>
      </w:r>
      <w:r>
        <w:rPr>
          <w:sz w:val="30"/>
          <w:szCs w:val="30"/>
        </w:rPr>
        <w:t xml:space="preserve"> </w:t>
      </w:r>
      <w:r>
        <w:rPr>
          <w:spacing w:val="1"/>
          <w:sz w:val="30"/>
          <w:szCs w:val="30"/>
        </w:rPr>
        <w:t>务业监管的数字化、精准化，不断提高监督能力和监督效能，</w:t>
      </w:r>
      <w:r>
        <w:rPr>
          <w:spacing w:val="11"/>
          <w:sz w:val="30"/>
          <w:szCs w:val="30"/>
        </w:rPr>
        <w:t xml:space="preserve"> </w:t>
      </w:r>
      <w:r>
        <w:rPr>
          <w:spacing w:val="6"/>
          <w:sz w:val="30"/>
          <w:szCs w:val="30"/>
        </w:rPr>
        <w:t>切实保障相关单位合规运营，健康发展。</w:t>
      </w:r>
    </w:p>
    <w:p w14:paraId="0E4ED6EA">
      <w:pPr>
        <w:spacing w:line="289" w:lineRule="auto"/>
        <w:rPr>
          <w:rFonts w:ascii="Arial"/>
          <w:sz w:val="21"/>
        </w:rPr>
      </w:pPr>
    </w:p>
    <w:p w14:paraId="3BEDFE42">
      <w:pPr>
        <w:spacing w:line="289" w:lineRule="auto"/>
        <w:rPr>
          <w:rFonts w:ascii="Arial"/>
          <w:sz w:val="21"/>
        </w:rPr>
      </w:pPr>
    </w:p>
    <w:p w14:paraId="1C609C48">
      <w:pPr>
        <w:pStyle w:val="2"/>
        <w:spacing w:before="97" w:line="221" w:lineRule="auto"/>
        <w:ind w:left="609"/>
        <w:rPr>
          <w:sz w:val="30"/>
          <w:szCs w:val="30"/>
        </w:rPr>
      </w:pPr>
      <w:r>
        <w:rPr>
          <w:spacing w:val="10"/>
          <w:sz w:val="30"/>
          <w:szCs w:val="30"/>
        </w:rPr>
        <w:t>附件：市城市管理局非现场监管事项清单</w:t>
      </w:r>
    </w:p>
    <w:p w14:paraId="7C19EA6A">
      <w:pPr>
        <w:spacing w:line="277" w:lineRule="auto"/>
        <w:rPr>
          <w:rFonts w:ascii="Arial"/>
          <w:sz w:val="21"/>
        </w:rPr>
      </w:pPr>
    </w:p>
    <w:p w14:paraId="265B8F70">
      <w:pPr>
        <w:spacing w:line="277" w:lineRule="auto"/>
        <w:rPr>
          <w:rFonts w:ascii="Arial"/>
          <w:sz w:val="21"/>
        </w:rPr>
      </w:pPr>
    </w:p>
    <w:p w14:paraId="54FEB7DF">
      <w:pPr>
        <w:spacing w:line="277" w:lineRule="auto"/>
        <w:rPr>
          <w:rFonts w:ascii="Arial"/>
          <w:sz w:val="21"/>
        </w:rPr>
      </w:pPr>
    </w:p>
    <w:p w14:paraId="39B89E29">
      <w:pPr>
        <w:spacing w:line="278" w:lineRule="auto"/>
        <w:rPr>
          <w:rFonts w:ascii="Arial"/>
          <w:sz w:val="21"/>
        </w:rPr>
      </w:pPr>
    </w:p>
    <w:p w14:paraId="06E109C5">
      <w:pPr>
        <w:spacing w:line="278" w:lineRule="auto"/>
        <w:rPr>
          <w:rFonts w:ascii="Arial"/>
          <w:sz w:val="21"/>
        </w:rPr>
      </w:pPr>
    </w:p>
    <w:p w14:paraId="64EA1DB5">
      <w:pPr>
        <w:pStyle w:val="2"/>
        <w:spacing w:before="99" w:line="222" w:lineRule="auto"/>
        <w:ind w:left="4939"/>
        <w:rPr>
          <w:sz w:val="30"/>
          <w:szCs w:val="30"/>
        </w:rPr>
      </w:pPr>
      <w:bookmarkStart w:id="0" w:name="_GoBack"/>
      <w:bookmarkEnd w:id="0"/>
      <w:r>
        <w:rPr>
          <w:spacing w:val="12"/>
          <w:sz w:val="30"/>
          <w:szCs w:val="30"/>
        </w:rPr>
        <w:t>项城市城市管理局</w:t>
      </w:r>
    </w:p>
    <w:p w14:paraId="30535ABE">
      <w:pPr>
        <w:pStyle w:val="2"/>
        <w:spacing w:before="249" w:line="222" w:lineRule="auto"/>
        <w:ind w:left="5239"/>
        <w:rPr>
          <w:sz w:val="30"/>
          <w:szCs w:val="30"/>
        </w:rPr>
      </w:pPr>
      <w:r>
        <w:rPr>
          <w:spacing w:val="44"/>
          <w:sz w:val="30"/>
          <w:szCs w:val="30"/>
        </w:rPr>
        <w:t>2024年12月25日</w:t>
      </w:r>
    </w:p>
    <w:p w14:paraId="34A04312">
      <w:pPr>
        <w:spacing w:line="222" w:lineRule="auto"/>
        <w:rPr>
          <w:sz w:val="30"/>
          <w:szCs w:val="30"/>
        </w:rPr>
        <w:sectPr>
          <w:footerReference r:id="rId6" w:type="default"/>
          <w:pgSz w:w="11910" w:h="16840"/>
          <w:pgMar w:top="1431" w:right="1786" w:bottom="400" w:left="1750" w:header="0" w:footer="0" w:gutter="0"/>
          <w:cols w:space="720" w:num="1"/>
        </w:sectPr>
      </w:pPr>
    </w:p>
    <w:p w14:paraId="67FD2885">
      <w:pPr>
        <w:spacing w:line="308" w:lineRule="auto"/>
        <w:rPr>
          <w:rFonts w:ascii="Arial"/>
          <w:sz w:val="21"/>
        </w:rPr>
      </w:pPr>
    </w:p>
    <w:p w14:paraId="0FA1B18B">
      <w:pPr>
        <w:spacing w:line="308" w:lineRule="auto"/>
        <w:rPr>
          <w:rFonts w:ascii="Arial"/>
          <w:sz w:val="21"/>
        </w:rPr>
      </w:pPr>
    </w:p>
    <w:p w14:paraId="67B2F10D">
      <w:pPr>
        <w:spacing w:line="309" w:lineRule="auto"/>
        <w:rPr>
          <w:rFonts w:ascii="Arial"/>
          <w:sz w:val="21"/>
        </w:rPr>
      </w:pPr>
    </w:p>
    <w:p w14:paraId="3F07CC39">
      <w:pPr>
        <w:spacing w:before="98" w:line="219" w:lineRule="auto"/>
        <w:ind w:left="1294"/>
        <w:rPr>
          <w:rFonts w:ascii="宋体" w:hAnsi="宋体" w:eastAsia="宋体" w:cs="宋体"/>
          <w:sz w:val="30"/>
          <w:szCs w:val="30"/>
        </w:rPr>
      </w:pPr>
      <w:r>
        <w:rPr>
          <w:rFonts w:ascii="宋体" w:hAnsi="宋体" w:eastAsia="宋体" w:cs="宋体"/>
          <w:spacing w:val="-2"/>
          <w:sz w:val="30"/>
          <w:szCs w:val="30"/>
        </w:rPr>
        <w:t>附件</w:t>
      </w:r>
    </w:p>
    <w:p w14:paraId="02F8AE47">
      <w:pPr>
        <w:spacing w:line="325" w:lineRule="auto"/>
        <w:rPr>
          <w:rFonts w:ascii="Arial"/>
          <w:sz w:val="21"/>
        </w:rPr>
      </w:pPr>
    </w:p>
    <w:p w14:paraId="5BDCE88F">
      <w:pPr>
        <w:spacing w:line="326" w:lineRule="auto"/>
        <w:rPr>
          <w:rFonts w:ascii="Arial"/>
          <w:sz w:val="21"/>
        </w:rPr>
      </w:pPr>
    </w:p>
    <w:p w14:paraId="3188DECE">
      <w:pPr>
        <w:spacing w:before="140" w:line="219" w:lineRule="auto"/>
        <w:ind w:left="2341"/>
        <w:rPr>
          <w:rFonts w:ascii="宋体" w:hAnsi="宋体" w:eastAsia="宋体" w:cs="宋体"/>
          <w:sz w:val="43"/>
          <w:szCs w:val="43"/>
        </w:rPr>
      </w:pPr>
      <w:r>
        <w:rPr>
          <w:rFonts w:ascii="宋体" w:hAnsi="宋体" w:eastAsia="宋体" w:cs="宋体"/>
          <w:b/>
          <w:bCs/>
          <w:spacing w:val="-8"/>
          <w:sz w:val="43"/>
          <w:szCs w:val="43"/>
        </w:rPr>
        <w:t>城市管理局非现场监管事项清单</w:t>
      </w:r>
    </w:p>
    <w:p w14:paraId="71E9D53D">
      <w:pPr>
        <w:spacing w:before="66"/>
      </w:pPr>
    </w:p>
    <w:p w14:paraId="021DF757">
      <w:pPr>
        <w:spacing w:before="66"/>
      </w:pPr>
    </w:p>
    <w:p w14:paraId="15B1BA50">
      <w:pPr>
        <w:spacing w:before="66"/>
      </w:pPr>
    </w:p>
    <w:tbl>
      <w:tblPr>
        <w:tblStyle w:val="5"/>
        <w:tblW w:w="10420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4"/>
        <w:gridCol w:w="1848"/>
        <w:gridCol w:w="1728"/>
        <w:gridCol w:w="2128"/>
        <w:gridCol w:w="2088"/>
        <w:gridCol w:w="1684"/>
      </w:tblGrid>
      <w:tr w14:paraId="5318BF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9" w:hRule="atLeast"/>
        </w:trPr>
        <w:tc>
          <w:tcPr>
            <w:tcW w:w="944" w:type="dxa"/>
            <w:vAlign w:val="top"/>
          </w:tcPr>
          <w:p w14:paraId="4CC8840D">
            <w:pPr>
              <w:pStyle w:val="6"/>
              <w:spacing w:line="267" w:lineRule="auto"/>
            </w:pPr>
          </w:p>
          <w:p w14:paraId="33B18EBA">
            <w:pPr>
              <w:pStyle w:val="6"/>
              <w:spacing w:line="267" w:lineRule="auto"/>
            </w:pPr>
          </w:p>
          <w:p w14:paraId="201AF5C4">
            <w:pPr>
              <w:pStyle w:val="6"/>
              <w:spacing w:line="267" w:lineRule="auto"/>
            </w:pPr>
          </w:p>
          <w:p w14:paraId="6E23AA24">
            <w:pPr>
              <w:pStyle w:val="6"/>
              <w:spacing w:line="267" w:lineRule="auto"/>
            </w:pPr>
          </w:p>
          <w:p w14:paraId="0D371A6A">
            <w:pPr>
              <w:pStyle w:val="6"/>
              <w:spacing w:line="268" w:lineRule="auto"/>
            </w:pPr>
          </w:p>
          <w:p w14:paraId="4052F4D9">
            <w:pPr>
              <w:pStyle w:val="6"/>
              <w:spacing w:line="268" w:lineRule="auto"/>
            </w:pPr>
          </w:p>
          <w:p w14:paraId="25642DF9">
            <w:pPr>
              <w:spacing w:before="94" w:line="221" w:lineRule="auto"/>
              <w:ind w:left="125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8"/>
                <w:sz w:val="29"/>
                <w:szCs w:val="29"/>
              </w:rPr>
              <w:t>序号</w:t>
            </w:r>
          </w:p>
        </w:tc>
        <w:tc>
          <w:tcPr>
            <w:tcW w:w="1848" w:type="dxa"/>
            <w:vAlign w:val="top"/>
          </w:tcPr>
          <w:p w14:paraId="30464A01">
            <w:pPr>
              <w:pStyle w:val="6"/>
              <w:spacing w:line="258" w:lineRule="auto"/>
            </w:pPr>
          </w:p>
          <w:p w14:paraId="7ED61CD8">
            <w:pPr>
              <w:pStyle w:val="6"/>
              <w:spacing w:line="258" w:lineRule="auto"/>
            </w:pPr>
          </w:p>
          <w:p w14:paraId="06954B90">
            <w:pPr>
              <w:pStyle w:val="6"/>
              <w:spacing w:line="258" w:lineRule="auto"/>
            </w:pPr>
          </w:p>
          <w:p w14:paraId="33276B73">
            <w:pPr>
              <w:pStyle w:val="6"/>
              <w:spacing w:line="259" w:lineRule="auto"/>
            </w:pPr>
          </w:p>
          <w:p w14:paraId="5615A629">
            <w:pPr>
              <w:spacing w:before="75" w:line="232" w:lineRule="auto"/>
              <w:ind w:left="680" w:right="452" w:hanging="22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监管事项</w:t>
            </w: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5"/>
                <w:sz w:val="23"/>
                <w:szCs w:val="23"/>
              </w:rPr>
              <w:t>名称</w:t>
            </w:r>
          </w:p>
        </w:tc>
        <w:tc>
          <w:tcPr>
            <w:tcW w:w="1728" w:type="dxa"/>
            <w:vAlign w:val="top"/>
          </w:tcPr>
          <w:p w14:paraId="7280A701">
            <w:pPr>
              <w:pStyle w:val="6"/>
              <w:spacing w:line="268" w:lineRule="auto"/>
            </w:pPr>
          </w:p>
          <w:p w14:paraId="2955B5A5">
            <w:pPr>
              <w:pStyle w:val="6"/>
              <w:spacing w:line="268" w:lineRule="auto"/>
            </w:pPr>
          </w:p>
          <w:p w14:paraId="4CFBB765">
            <w:pPr>
              <w:pStyle w:val="6"/>
              <w:spacing w:line="268" w:lineRule="auto"/>
            </w:pPr>
          </w:p>
          <w:p w14:paraId="4AFB50D7">
            <w:pPr>
              <w:pStyle w:val="6"/>
              <w:spacing w:line="269" w:lineRule="auto"/>
            </w:pPr>
          </w:p>
          <w:p w14:paraId="4841F5B9">
            <w:pPr>
              <w:pStyle w:val="6"/>
              <w:spacing w:line="269" w:lineRule="auto"/>
            </w:pPr>
          </w:p>
          <w:p w14:paraId="21C1CCEB">
            <w:pPr>
              <w:spacing w:before="74" w:line="220" w:lineRule="auto"/>
              <w:ind w:left="39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事项描述</w:t>
            </w:r>
          </w:p>
        </w:tc>
        <w:tc>
          <w:tcPr>
            <w:tcW w:w="2128" w:type="dxa"/>
            <w:vAlign w:val="top"/>
          </w:tcPr>
          <w:p w14:paraId="4864E5D9">
            <w:pPr>
              <w:pStyle w:val="6"/>
              <w:spacing w:line="298" w:lineRule="auto"/>
            </w:pPr>
          </w:p>
          <w:p w14:paraId="7792E443">
            <w:pPr>
              <w:pStyle w:val="6"/>
              <w:spacing w:line="298" w:lineRule="auto"/>
            </w:pPr>
          </w:p>
          <w:p w14:paraId="393DD25C">
            <w:pPr>
              <w:spacing w:before="75" w:line="220" w:lineRule="auto"/>
              <w:ind w:left="5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适用情形</w:t>
            </w:r>
          </w:p>
          <w:p w14:paraId="66B90766">
            <w:pPr>
              <w:spacing w:before="25" w:line="219" w:lineRule="auto"/>
              <w:ind w:left="19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(1.远程监管、2.</w:t>
            </w:r>
          </w:p>
          <w:p w14:paraId="2CC0BA16">
            <w:pPr>
              <w:spacing w:before="27" w:line="219" w:lineRule="auto"/>
              <w:ind w:left="25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移动监管、3.扫</w:t>
            </w:r>
          </w:p>
          <w:p w14:paraId="4BA2C526">
            <w:pPr>
              <w:spacing w:before="27" w:line="219" w:lineRule="auto"/>
              <w:ind w:left="135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z w:val="23"/>
                <w:szCs w:val="23"/>
              </w:rPr>
              <w:t>码监管、4.网络监</w:t>
            </w:r>
          </w:p>
          <w:p w14:paraId="2DD1BD89">
            <w:pPr>
              <w:spacing w:before="37" w:line="219" w:lineRule="auto"/>
              <w:ind w:left="88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8"/>
                <w:sz w:val="23"/>
                <w:szCs w:val="23"/>
              </w:rPr>
              <w:t>管</w:t>
            </w:r>
            <w:r>
              <w:rPr>
                <w:rFonts w:ascii="宋体" w:hAnsi="宋体" w:eastAsia="宋体" w:cs="宋体"/>
                <w:spacing w:val="-45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8"/>
                <w:sz w:val="23"/>
                <w:szCs w:val="23"/>
              </w:rPr>
              <w:t>)</w:t>
            </w:r>
          </w:p>
        </w:tc>
        <w:tc>
          <w:tcPr>
            <w:tcW w:w="2088" w:type="dxa"/>
            <w:vAlign w:val="top"/>
          </w:tcPr>
          <w:p w14:paraId="42E50AB9">
            <w:pPr>
              <w:pStyle w:val="6"/>
              <w:spacing w:line="258" w:lineRule="auto"/>
            </w:pPr>
          </w:p>
          <w:p w14:paraId="1BDA6CE9">
            <w:pPr>
              <w:pStyle w:val="6"/>
              <w:spacing w:line="258" w:lineRule="auto"/>
            </w:pPr>
          </w:p>
          <w:p w14:paraId="0CE01E77">
            <w:pPr>
              <w:pStyle w:val="6"/>
              <w:spacing w:line="258" w:lineRule="auto"/>
            </w:pPr>
          </w:p>
          <w:p w14:paraId="7EC65D97">
            <w:pPr>
              <w:pStyle w:val="6"/>
              <w:spacing w:line="259" w:lineRule="auto"/>
            </w:pPr>
          </w:p>
          <w:p w14:paraId="7E3271FF">
            <w:pPr>
              <w:spacing w:before="75" w:line="219" w:lineRule="auto"/>
              <w:ind w:left="57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监管方式</w:t>
            </w:r>
          </w:p>
          <w:p w14:paraId="2238F5F3">
            <w:pPr>
              <w:spacing w:before="47" w:line="219" w:lineRule="auto"/>
              <w:ind w:left="237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6"/>
                <w:sz w:val="23"/>
                <w:szCs w:val="23"/>
              </w:rPr>
              <w:t>(使用系统名称)</w:t>
            </w:r>
          </w:p>
        </w:tc>
        <w:tc>
          <w:tcPr>
            <w:tcW w:w="1684" w:type="dxa"/>
            <w:vAlign w:val="top"/>
          </w:tcPr>
          <w:p w14:paraId="47D8DF9C">
            <w:pPr>
              <w:pStyle w:val="6"/>
              <w:spacing w:line="268" w:lineRule="auto"/>
            </w:pPr>
          </w:p>
          <w:p w14:paraId="78FC3E64">
            <w:pPr>
              <w:pStyle w:val="6"/>
              <w:spacing w:line="268" w:lineRule="auto"/>
            </w:pPr>
          </w:p>
          <w:p w14:paraId="2A3725BC">
            <w:pPr>
              <w:pStyle w:val="6"/>
              <w:spacing w:line="268" w:lineRule="auto"/>
            </w:pPr>
          </w:p>
          <w:p w14:paraId="3C72F3E9">
            <w:pPr>
              <w:pStyle w:val="6"/>
              <w:spacing w:line="269" w:lineRule="auto"/>
            </w:pPr>
          </w:p>
          <w:p w14:paraId="4109653A">
            <w:pPr>
              <w:pStyle w:val="6"/>
              <w:spacing w:line="269" w:lineRule="auto"/>
            </w:pPr>
          </w:p>
          <w:p w14:paraId="249A278C">
            <w:pPr>
              <w:spacing w:before="74" w:line="220" w:lineRule="auto"/>
              <w:ind w:left="37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实施主体</w:t>
            </w:r>
          </w:p>
        </w:tc>
      </w:tr>
      <w:tr w14:paraId="2FBF166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170" w:hRule="atLeast"/>
        </w:trPr>
        <w:tc>
          <w:tcPr>
            <w:tcW w:w="944" w:type="dxa"/>
            <w:vAlign w:val="top"/>
          </w:tcPr>
          <w:p w14:paraId="0280DA03">
            <w:pPr>
              <w:pStyle w:val="6"/>
              <w:spacing w:line="241" w:lineRule="auto"/>
            </w:pPr>
          </w:p>
          <w:p w14:paraId="5680CA71">
            <w:pPr>
              <w:pStyle w:val="6"/>
              <w:spacing w:line="242" w:lineRule="auto"/>
            </w:pPr>
          </w:p>
          <w:p w14:paraId="4CF438C3">
            <w:pPr>
              <w:pStyle w:val="6"/>
              <w:spacing w:line="242" w:lineRule="auto"/>
            </w:pPr>
          </w:p>
          <w:p w14:paraId="7482AF88">
            <w:pPr>
              <w:pStyle w:val="6"/>
              <w:spacing w:line="242" w:lineRule="auto"/>
            </w:pPr>
          </w:p>
          <w:p w14:paraId="1CA8F2B1">
            <w:pPr>
              <w:pStyle w:val="6"/>
              <w:spacing w:line="242" w:lineRule="auto"/>
            </w:pPr>
          </w:p>
          <w:p w14:paraId="2755BDD2">
            <w:pPr>
              <w:pStyle w:val="6"/>
              <w:spacing w:line="242" w:lineRule="auto"/>
            </w:pPr>
          </w:p>
          <w:p w14:paraId="26414FD8">
            <w:pPr>
              <w:spacing w:before="61" w:line="184" w:lineRule="auto"/>
              <w:ind w:left="605"/>
              <w:rPr>
                <w:rFonts w:ascii="宋体" w:hAnsi="宋体" w:eastAsia="宋体" w:cs="宋体"/>
                <w:sz w:val="19"/>
                <w:szCs w:val="19"/>
              </w:rPr>
            </w:pPr>
            <w:r>
              <w:rPr>
                <w:rFonts w:ascii="宋体" w:hAnsi="宋体" w:eastAsia="宋体" w:cs="宋体"/>
                <w:sz w:val="19"/>
                <w:szCs w:val="19"/>
              </w:rPr>
              <w:t>1</w:t>
            </w:r>
          </w:p>
        </w:tc>
        <w:tc>
          <w:tcPr>
            <w:tcW w:w="1848" w:type="dxa"/>
            <w:vAlign w:val="top"/>
          </w:tcPr>
          <w:p w14:paraId="3E2F23BD">
            <w:pPr>
              <w:pStyle w:val="6"/>
              <w:spacing w:line="255" w:lineRule="auto"/>
            </w:pPr>
          </w:p>
          <w:p w14:paraId="0E8BD5A1">
            <w:pPr>
              <w:pStyle w:val="6"/>
              <w:spacing w:line="255" w:lineRule="auto"/>
            </w:pPr>
          </w:p>
          <w:p w14:paraId="5956A684">
            <w:pPr>
              <w:pStyle w:val="6"/>
              <w:spacing w:line="255" w:lineRule="auto"/>
            </w:pPr>
          </w:p>
          <w:p w14:paraId="23F8B3E9">
            <w:pPr>
              <w:spacing w:before="74" w:line="227" w:lineRule="auto"/>
              <w:ind w:left="450" w:right="102" w:hanging="340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餐饮服务业油烟</w:t>
            </w:r>
            <w:r>
              <w:rPr>
                <w:rFonts w:ascii="宋体" w:hAnsi="宋体" w:eastAsia="宋体" w:cs="宋体"/>
                <w:sz w:val="23"/>
                <w:szCs w:val="23"/>
              </w:rPr>
              <w:t xml:space="preserve"> </w:t>
            </w:r>
            <w:r>
              <w:rPr>
                <w:rFonts w:ascii="宋体" w:hAnsi="宋体" w:eastAsia="宋体" w:cs="宋体"/>
                <w:spacing w:val="-2"/>
                <w:sz w:val="23"/>
                <w:szCs w:val="23"/>
              </w:rPr>
              <w:t>排放情况</w:t>
            </w:r>
          </w:p>
        </w:tc>
        <w:tc>
          <w:tcPr>
            <w:tcW w:w="1728" w:type="dxa"/>
            <w:vAlign w:val="top"/>
          </w:tcPr>
          <w:p w14:paraId="56CD4CAE">
            <w:pPr>
              <w:pStyle w:val="6"/>
              <w:spacing w:line="308" w:lineRule="auto"/>
            </w:pPr>
          </w:p>
          <w:p w14:paraId="3175C07F">
            <w:pPr>
              <w:spacing w:before="75" w:line="219" w:lineRule="auto"/>
              <w:ind w:left="16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2"/>
                <w:sz w:val="23"/>
                <w:szCs w:val="23"/>
              </w:rPr>
              <w:t>通过餐饮油烟</w:t>
            </w:r>
          </w:p>
          <w:p w14:paraId="08D04365">
            <w:pPr>
              <w:spacing w:before="37" w:line="220" w:lineRule="auto"/>
              <w:ind w:left="16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4"/>
                <w:sz w:val="23"/>
                <w:szCs w:val="23"/>
              </w:rPr>
              <w:t>在线监测平台</w:t>
            </w:r>
          </w:p>
          <w:p w14:paraId="6E860D6E">
            <w:pPr>
              <w:spacing w:before="25" w:line="219" w:lineRule="auto"/>
              <w:ind w:left="162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数据，查看是</w:t>
            </w:r>
          </w:p>
          <w:p w14:paraId="3A303BF1">
            <w:pPr>
              <w:spacing w:before="27" w:line="220" w:lineRule="auto"/>
              <w:ind w:left="283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>否超标排放</w:t>
            </w:r>
          </w:p>
        </w:tc>
        <w:tc>
          <w:tcPr>
            <w:tcW w:w="2128" w:type="dxa"/>
            <w:vAlign w:val="top"/>
          </w:tcPr>
          <w:p w14:paraId="2352A52B">
            <w:pPr>
              <w:pStyle w:val="6"/>
              <w:spacing w:line="298" w:lineRule="auto"/>
            </w:pPr>
          </w:p>
          <w:p w14:paraId="627FF669">
            <w:pPr>
              <w:pStyle w:val="6"/>
              <w:spacing w:line="298" w:lineRule="auto"/>
            </w:pPr>
          </w:p>
          <w:p w14:paraId="18EFD433">
            <w:pPr>
              <w:pStyle w:val="6"/>
              <w:spacing w:line="299" w:lineRule="auto"/>
            </w:pPr>
          </w:p>
          <w:p w14:paraId="134E76A7">
            <w:pPr>
              <w:spacing w:before="75" w:line="219" w:lineRule="auto"/>
              <w:ind w:left="594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网络监管</w:t>
            </w:r>
          </w:p>
        </w:tc>
        <w:tc>
          <w:tcPr>
            <w:tcW w:w="2088" w:type="dxa"/>
            <w:vAlign w:val="top"/>
          </w:tcPr>
          <w:p w14:paraId="6B0237E6">
            <w:pPr>
              <w:pStyle w:val="6"/>
              <w:spacing w:line="258" w:lineRule="auto"/>
            </w:pPr>
          </w:p>
          <w:p w14:paraId="24D137BB">
            <w:pPr>
              <w:pStyle w:val="6"/>
              <w:spacing w:line="258" w:lineRule="auto"/>
            </w:pPr>
          </w:p>
          <w:p w14:paraId="4AFE02B0">
            <w:pPr>
              <w:pStyle w:val="6"/>
              <w:spacing w:line="258" w:lineRule="auto"/>
            </w:pPr>
          </w:p>
          <w:p w14:paraId="42EF5E2A">
            <w:pPr>
              <w:spacing w:before="75" w:line="232" w:lineRule="auto"/>
              <w:ind w:left="696" w:right="221" w:hanging="459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1"/>
                <w:sz w:val="23"/>
                <w:szCs w:val="23"/>
              </w:rPr>
              <w:t xml:space="preserve">餐饮油烟在线监 </w:t>
            </w:r>
            <w:r>
              <w:rPr>
                <w:rFonts w:ascii="宋体" w:hAnsi="宋体" w:eastAsia="宋体" w:cs="宋体"/>
                <w:spacing w:val="8"/>
                <w:sz w:val="23"/>
                <w:szCs w:val="23"/>
              </w:rPr>
              <w:t>测平台</w:t>
            </w:r>
          </w:p>
        </w:tc>
        <w:tc>
          <w:tcPr>
            <w:tcW w:w="1684" w:type="dxa"/>
            <w:vAlign w:val="top"/>
          </w:tcPr>
          <w:p w14:paraId="560E3EF9">
            <w:pPr>
              <w:pStyle w:val="6"/>
              <w:spacing w:line="298" w:lineRule="auto"/>
            </w:pPr>
          </w:p>
          <w:p w14:paraId="54AA5E08">
            <w:pPr>
              <w:pStyle w:val="6"/>
              <w:spacing w:line="298" w:lineRule="auto"/>
            </w:pPr>
          </w:p>
          <w:p w14:paraId="1C526A68">
            <w:pPr>
              <w:pStyle w:val="6"/>
              <w:spacing w:line="299" w:lineRule="auto"/>
            </w:pPr>
          </w:p>
          <w:p w14:paraId="110904D6">
            <w:pPr>
              <w:spacing w:before="75" w:line="219" w:lineRule="auto"/>
              <w:ind w:left="148"/>
              <w:rPr>
                <w:rFonts w:ascii="宋体" w:hAnsi="宋体" w:eastAsia="宋体" w:cs="宋体"/>
                <w:sz w:val="23"/>
                <w:szCs w:val="23"/>
              </w:rPr>
            </w:pPr>
            <w:r>
              <w:rPr>
                <w:rFonts w:ascii="宋体" w:hAnsi="宋体" w:eastAsia="宋体" w:cs="宋体"/>
                <w:spacing w:val="3"/>
                <w:sz w:val="23"/>
                <w:szCs w:val="23"/>
              </w:rPr>
              <w:t>市城市管理局</w:t>
            </w:r>
          </w:p>
        </w:tc>
      </w:tr>
    </w:tbl>
    <w:p w14:paraId="00A3AD7C">
      <w:pPr>
        <w:rPr>
          <w:rFonts w:ascii="Arial"/>
          <w:sz w:val="21"/>
        </w:rPr>
      </w:pPr>
      <w:r>
        <w:pict>
          <v:shape id="_x0000_s1026" o:spid="_x0000_s1026" o:spt="202" type="#_x0000_t202" style="position:absolute;left:0pt;margin-left:552.6pt;margin-top:267.4pt;height:27pt;width:11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 w14:paraId="39592E58">
                  <w:pPr>
                    <w:spacing w:before="20" w:line="179" w:lineRule="exact"/>
                    <w:ind w:left="20"/>
                    <w:rPr>
                      <w:rFonts w:ascii="宋体" w:hAnsi="宋体" w:eastAsia="宋体" w:cs="宋体"/>
                      <w:sz w:val="13"/>
                      <w:szCs w:val="13"/>
                    </w:rPr>
                  </w:pPr>
                  <w:r>
                    <w:rPr>
                      <w:rFonts w:ascii="宋体" w:hAnsi="宋体" w:eastAsia="宋体" w:cs="宋体"/>
                      <w:position w:val="1"/>
                      <w:sz w:val="13"/>
                      <w:szCs w:val="13"/>
                    </w:rPr>
                    <w:t>…</w:t>
                  </w:r>
                  <w:r>
                    <w:rPr>
                      <w:rFonts w:ascii="宋体" w:hAnsi="宋体" w:eastAsia="宋体" w:cs="宋体"/>
                      <w:spacing w:val="14"/>
                      <w:position w:val="1"/>
                      <w:sz w:val="13"/>
                      <w:szCs w:val="13"/>
                    </w:rPr>
                    <w:t xml:space="preserve">   </w:t>
                  </w:r>
                  <w:r>
                    <w:rPr>
                      <w:rFonts w:ascii="宋体" w:hAnsi="宋体" w:eastAsia="宋体" w:cs="宋体"/>
                      <w:position w:val="1"/>
                      <w:sz w:val="13"/>
                      <w:szCs w:val="13"/>
                    </w:rPr>
                    <w:t>…</w:t>
                  </w:r>
                </w:p>
              </w:txbxContent>
            </v:textbox>
          </v:shape>
        </w:pict>
      </w:r>
    </w:p>
    <w:sectPr>
      <w:pgSz w:w="11910" w:h="16840"/>
      <w:pgMar w:top="1431" w:right="183" w:bottom="400" w:left="474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571EEDA">
    <w:pPr>
      <w:spacing w:line="50" w:lineRule="exact"/>
    </w:pPr>
    <w:r>
      <w:rPr>
        <w:position w:val="-1"/>
      </w:rPr>
      <w:drawing>
        <wp:inline distT="0" distB="0" distL="0" distR="0">
          <wp:extent cx="5524500" cy="31750"/>
          <wp:effectExtent l="0" t="0" r="0" b="0"/>
          <wp:docPr id="2" name="I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524505" cy="3177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998751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3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38B74BB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1"/>
      <w:szCs w:val="31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658</Words>
  <Characters>671</Characters>
  <TotalTime>0</TotalTime>
  <ScaleCrop>false</ScaleCrop>
  <LinksUpToDate>false</LinksUpToDate>
  <CharactersWithSpaces>704</CharactersWithSpaces>
  <Application>WPS Office_12.1.0.19302_F1E327BC-269C-435d-A152-05C5408002CA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2024-12-25T15:01:00Z</dcterms:created>
  <dc:creator>Kingsoft-PDF</dc:creator>
  <cp:lastModifiedBy>大树老师</cp:lastModifiedBy>
  <dcterms:modified xsi:type="dcterms:W3CDTF">2024-12-25T07:02:04Z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2024-12-25T15:01:11Z</vt:filetime>
  </property>
  <property fmtid="{D5CDD505-2E9C-101B-9397-08002B2CF9AE}" pid="4" name="UsrData">
    <vt:lpwstr>676badb4182be6001fc8da97wl</vt:lpwstr>
  </property>
  <property fmtid="{D5CDD505-2E9C-101B-9397-08002B2CF9AE}" pid="5" name="KSOProductBuildVer">
    <vt:lpwstr>2052-12.1.0.19302</vt:lpwstr>
  </property>
  <property fmtid="{D5CDD505-2E9C-101B-9397-08002B2CF9AE}" pid="6" name="ICV">
    <vt:lpwstr>64EDC118F0094166AAECFBA7F2DDA23D_13</vt:lpwstr>
  </property>
</Properties>
</file>