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631E66">
      <w:pPr>
        <w:spacing w:before="250"/>
        <w:ind w:left="29"/>
        <w:rPr>
          <w:rFonts w:ascii="宋体" w:hAnsi="宋体" w:eastAsia="宋体" w:cs="宋体"/>
          <w:sz w:val="66"/>
          <w:szCs w:val="66"/>
        </w:rPr>
      </w:pPr>
      <w:r>
        <w:rPr>
          <w:rFonts w:ascii="宋体" w:hAnsi="宋体" w:eastAsia="宋体" w:cs="宋体"/>
          <w:color w:val="EF0F00"/>
          <w:position w:val="-42"/>
          <w:sz w:val="66"/>
          <w:szCs w:val="66"/>
        </w:rPr>
        <w:drawing>
          <wp:inline distT="0" distB="0" distL="0" distR="0">
            <wp:extent cx="799465" cy="79375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00080" cy="79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color w:val="EF0F00"/>
          <w:spacing w:val="29"/>
          <w:sz w:val="66"/>
          <w:szCs w:val="66"/>
        </w:rPr>
        <w:t xml:space="preserve"> </w:t>
      </w:r>
      <w:r>
        <w:rPr>
          <w:rFonts w:ascii="宋体" w:hAnsi="宋体" w:eastAsia="宋体" w:cs="宋体"/>
          <w:b/>
          <w:bCs/>
          <w:color w:val="EF0F00"/>
          <w:spacing w:val="-7"/>
          <w:sz w:val="66"/>
          <w:szCs w:val="66"/>
        </w:rPr>
        <w:t>周口市生态环境局项城分局</w:t>
      </w:r>
    </w:p>
    <w:p w14:paraId="47631762">
      <w:pPr>
        <w:spacing w:before="69" w:line="61" w:lineRule="exact"/>
      </w:pPr>
      <w:r>
        <w:rPr>
          <w:position w:val="-1"/>
        </w:rPr>
        <w:drawing>
          <wp:inline distT="0" distB="0" distL="0" distR="0">
            <wp:extent cx="6120765" cy="381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1357" cy="38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81E4DB">
      <w:pPr>
        <w:spacing w:line="241" w:lineRule="auto"/>
        <w:rPr>
          <w:rFonts w:ascii="Arial"/>
          <w:sz w:val="21"/>
        </w:rPr>
      </w:pPr>
    </w:p>
    <w:p w14:paraId="2BE1B348">
      <w:pPr>
        <w:spacing w:line="242" w:lineRule="auto"/>
        <w:rPr>
          <w:rFonts w:ascii="Arial"/>
          <w:sz w:val="21"/>
        </w:rPr>
      </w:pPr>
    </w:p>
    <w:p w14:paraId="4ED7FF10">
      <w:pPr>
        <w:spacing w:line="242" w:lineRule="auto"/>
        <w:rPr>
          <w:rFonts w:ascii="Arial"/>
          <w:sz w:val="21"/>
        </w:rPr>
      </w:pPr>
    </w:p>
    <w:p w14:paraId="5F13C138">
      <w:pPr>
        <w:spacing w:before="120" w:line="289" w:lineRule="auto"/>
        <w:ind w:left="2875" w:right="2652" w:hanging="160"/>
        <w:rPr>
          <w:rFonts w:ascii="宋体" w:hAnsi="宋体" w:eastAsia="宋体" w:cs="宋体"/>
          <w:sz w:val="37"/>
          <w:szCs w:val="37"/>
        </w:rPr>
      </w:pPr>
      <w:r>
        <w:rPr>
          <w:rFonts w:ascii="宋体" w:hAnsi="宋体" w:eastAsia="宋体" w:cs="宋体"/>
          <w:b/>
          <w:bCs/>
          <w:spacing w:val="-18"/>
          <w:sz w:val="37"/>
          <w:szCs w:val="37"/>
        </w:rPr>
        <w:t>周口市生态环境局项城分局</w:t>
      </w:r>
      <w:r>
        <w:rPr>
          <w:rFonts w:ascii="宋体" w:hAnsi="宋体" w:eastAsia="宋体" w:cs="宋体"/>
          <w:sz w:val="37"/>
          <w:szCs w:val="37"/>
        </w:rPr>
        <w:t xml:space="preserve"> </w:t>
      </w:r>
      <w:r>
        <w:rPr>
          <w:rFonts w:ascii="宋体" w:hAnsi="宋体" w:eastAsia="宋体" w:cs="宋体"/>
          <w:b/>
          <w:bCs/>
          <w:spacing w:val="-14"/>
          <w:sz w:val="37"/>
          <w:szCs w:val="37"/>
        </w:rPr>
        <w:t>非现场监管情况汇总报告</w:t>
      </w:r>
    </w:p>
    <w:p w14:paraId="54D3D831">
      <w:pPr>
        <w:spacing w:line="321" w:lineRule="auto"/>
        <w:rPr>
          <w:rFonts w:ascii="Arial"/>
          <w:sz w:val="21"/>
        </w:rPr>
      </w:pPr>
    </w:p>
    <w:p w14:paraId="08362409">
      <w:pPr>
        <w:spacing w:line="321" w:lineRule="auto"/>
        <w:rPr>
          <w:rFonts w:ascii="Arial"/>
          <w:sz w:val="21"/>
        </w:rPr>
      </w:pPr>
    </w:p>
    <w:p w14:paraId="1B66B236">
      <w:pPr>
        <w:pStyle w:val="2"/>
        <w:spacing w:before="98" w:line="220" w:lineRule="auto"/>
        <w:ind w:left="734"/>
        <w:outlineLvl w:val="0"/>
      </w:pPr>
      <w:r>
        <w:rPr>
          <w:b/>
          <w:bCs/>
          <w:spacing w:val="-7"/>
        </w:rPr>
        <w:t>一、工作开展情况</w:t>
      </w:r>
    </w:p>
    <w:p w14:paraId="2D91B11C">
      <w:pPr>
        <w:pStyle w:val="2"/>
        <w:spacing w:before="247" w:line="350" w:lineRule="auto"/>
        <w:ind w:left="959" w:right="629" w:firstLine="729"/>
      </w:pPr>
      <w:r>
        <w:rPr>
          <w:spacing w:val="16"/>
        </w:rPr>
        <w:t>(一)周口市生态环境局项城分局执法人员对企业自行</w:t>
      </w:r>
      <w:r>
        <w:rPr>
          <w:spacing w:val="6"/>
        </w:rPr>
        <w:t xml:space="preserve"> </w:t>
      </w:r>
      <w:r>
        <w:rPr>
          <w:spacing w:val="-3"/>
        </w:rPr>
        <w:t>监测数据公开情况采取网上远端巡查方式进行监管，项城市在</w:t>
      </w:r>
      <w:r>
        <w:rPr>
          <w:spacing w:val="2"/>
        </w:rPr>
        <w:t xml:space="preserve"> </w:t>
      </w:r>
      <w:r>
        <w:rPr>
          <w:spacing w:val="3"/>
        </w:rPr>
        <w:t>全国污染源监测数据管理与共享系统内有企业总计176家，其</w:t>
      </w:r>
      <w:r>
        <w:rPr>
          <w:spacing w:val="15"/>
        </w:rPr>
        <w:t xml:space="preserve"> </w:t>
      </w:r>
      <w:r>
        <w:rPr>
          <w:spacing w:val="12"/>
        </w:rPr>
        <w:t>中140家企业已上传年度监测方案，占比79.55%;116家企业</w:t>
      </w:r>
      <w:r>
        <w:rPr>
          <w:spacing w:val="15"/>
        </w:rPr>
        <w:t xml:space="preserve"> </w:t>
      </w:r>
      <w:r>
        <w:rPr>
          <w:spacing w:val="1"/>
        </w:rPr>
        <w:t>已录入监测数据；数据联网率65.91%。</w:t>
      </w:r>
    </w:p>
    <w:p w14:paraId="5AEC3427">
      <w:pPr>
        <w:pStyle w:val="2"/>
        <w:spacing w:before="284" w:line="300" w:lineRule="auto"/>
        <w:ind w:left="729" w:right="630" w:firstLine="759"/>
      </w:pPr>
      <w:r>
        <w:rPr>
          <w:spacing w:val="12"/>
        </w:rPr>
        <w:t>(二)项城市重点排污单位自动监控重点管理企业总计33</w:t>
      </w:r>
      <w:r>
        <w:rPr>
          <w:spacing w:val="6"/>
        </w:rPr>
        <w:t xml:space="preserve"> </w:t>
      </w:r>
      <w:r>
        <w:rPr>
          <w:spacing w:val="10"/>
        </w:rPr>
        <w:t>家，其中涉气企业17家、涉水企业16家。</w:t>
      </w:r>
    </w:p>
    <w:p w14:paraId="4E70D936">
      <w:pPr>
        <w:pStyle w:val="2"/>
        <w:spacing w:before="255" w:line="374" w:lineRule="auto"/>
        <w:ind w:left="729" w:right="560" w:firstLine="670"/>
        <w:jc w:val="both"/>
      </w:pPr>
      <w:r>
        <w:rPr>
          <w:spacing w:val="-5"/>
        </w:rPr>
        <w:t>监控中心每日对重点污染企业的排放数据进行审核、收集、</w:t>
      </w:r>
      <w:r>
        <w:rPr>
          <w:spacing w:val="8"/>
        </w:rPr>
        <w:t xml:space="preserve"> </w:t>
      </w:r>
      <w:r>
        <w:rPr>
          <w:spacing w:val="-12"/>
        </w:rPr>
        <w:t>整理和分析，确保数据的准确和及时。对发现的异常或超</w:t>
      </w:r>
      <w:r>
        <w:rPr>
          <w:spacing w:val="-13"/>
        </w:rPr>
        <w:t>标情况，</w:t>
      </w:r>
      <w:r>
        <w:t xml:space="preserve"> 立即形成“重点污染源超标预警专报”,通知企业并现场督促其 </w:t>
      </w:r>
      <w:r>
        <w:rPr>
          <w:spacing w:val="-5"/>
        </w:rPr>
        <w:t>查明原因、采取措施进行整改。</w:t>
      </w:r>
    </w:p>
    <w:p w14:paraId="60130DA3">
      <w:pPr>
        <w:pStyle w:val="2"/>
        <w:spacing w:before="56" w:line="386" w:lineRule="auto"/>
        <w:ind w:left="729" w:right="623" w:firstLine="629"/>
        <w:jc w:val="both"/>
        <w:rPr>
          <w:sz w:val="29"/>
          <w:szCs w:val="29"/>
        </w:rPr>
      </w:pPr>
      <w:r>
        <w:rPr>
          <w:spacing w:val="4"/>
          <w:sz w:val="29"/>
          <w:szCs w:val="29"/>
        </w:rPr>
        <w:t>通过对在线设备的实时监控，实现对污染企业排放情况的实</w:t>
      </w:r>
      <w:r>
        <w:rPr>
          <w:spacing w:val="11"/>
          <w:sz w:val="29"/>
          <w:szCs w:val="29"/>
        </w:rPr>
        <w:t xml:space="preserve"> </w:t>
      </w:r>
      <w:r>
        <w:rPr>
          <w:spacing w:val="4"/>
          <w:sz w:val="29"/>
          <w:szCs w:val="29"/>
        </w:rPr>
        <w:t>时监控和数据分析，及时发现污染源的问题，使污染物得到源头</w:t>
      </w:r>
      <w:r>
        <w:rPr>
          <w:spacing w:val="18"/>
          <w:sz w:val="29"/>
          <w:szCs w:val="29"/>
        </w:rPr>
        <w:t xml:space="preserve"> </w:t>
      </w:r>
      <w:r>
        <w:rPr>
          <w:spacing w:val="3"/>
          <w:sz w:val="29"/>
          <w:szCs w:val="29"/>
        </w:rPr>
        <w:t>控制，增强执法监管效能。</w:t>
      </w:r>
    </w:p>
    <w:p w14:paraId="55FFD7B7">
      <w:pPr>
        <w:pStyle w:val="2"/>
        <w:spacing w:before="56" w:line="222" w:lineRule="auto"/>
        <w:ind w:left="1504"/>
      </w:pPr>
      <w:r>
        <w:rPr>
          <w:b/>
          <w:bCs/>
          <w:spacing w:val="-3"/>
        </w:rPr>
        <w:t>(</w:t>
      </w:r>
      <w:r>
        <w:rPr>
          <w:spacing w:val="-40"/>
        </w:rPr>
        <w:t xml:space="preserve"> </w:t>
      </w:r>
      <w:r>
        <w:rPr>
          <w:b/>
          <w:bCs/>
          <w:spacing w:val="-3"/>
        </w:rPr>
        <w:t>三</w:t>
      </w:r>
      <w:r>
        <w:rPr>
          <w:spacing w:val="-57"/>
        </w:rPr>
        <w:t xml:space="preserve"> </w:t>
      </w:r>
      <w:r>
        <w:rPr>
          <w:b/>
          <w:bCs/>
          <w:spacing w:val="-3"/>
        </w:rPr>
        <w:t>)</w:t>
      </w:r>
      <w:r>
        <w:rPr>
          <w:spacing w:val="-3"/>
        </w:rPr>
        <w:t>项城市纳入排污许可证管理企业总计177家，其中重</w:t>
      </w:r>
    </w:p>
    <w:p w14:paraId="6F2AB7A4">
      <w:pPr>
        <w:spacing w:line="222" w:lineRule="auto"/>
        <w:sectPr>
          <w:pgSz w:w="12470" w:h="17220"/>
          <w:pgMar w:top="960" w:right="1450" w:bottom="0" w:left="1380" w:header="0" w:footer="0" w:gutter="0"/>
          <w:cols w:space="720" w:num="1"/>
        </w:sectPr>
      </w:pPr>
    </w:p>
    <w:p w14:paraId="4C939312">
      <w:pPr>
        <w:pStyle w:val="2"/>
        <w:spacing w:before="62" w:line="390" w:lineRule="auto"/>
        <w:ind w:left="135" w:right="207"/>
        <w:jc w:val="both"/>
        <w:rPr>
          <w:sz w:val="29"/>
          <w:szCs w:val="29"/>
        </w:rPr>
      </w:pPr>
      <w:r>
        <w:rPr>
          <w:spacing w:val="18"/>
          <w:sz w:val="29"/>
          <w:szCs w:val="29"/>
        </w:rPr>
        <w:t>点管理类40家，简化管理类137家。周口市生态环境局项城分</w:t>
      </w:r>
      <w:r>
        <w:rPr>
          <w:sz w:val="29"/>
          <w:szCs w:val="29"/>
        </w:rPr>
        <w:t xml:space="preserve"> </w:t>
      </w:r>
      <w:r>
        <w:rPr>
          <w:spacing w:val="4"/>
          <w:sz w:val="29"/>
          <w:szCs w:val="29"/>
        </w:rPr>
        <w:t>局为持续优化营商环境，秉承“无事不扰”原则，组织相关股室</w:t>
      </w:r>
      <w:r>
        <w:rPr>
          <w:spacing w:val="14"/>
          <w:sz w:val="29"/>
          <w:szCs w:val="29"/>
        </w:rPr>
        <w:t xml:space="preserve"> </w:t>
      </w:r>
      <w:r>
        <w:rPr>
          <w:spacing w:val="4"/>
          <w:sz w:val="29"/>
          <w:szCs w:val="29"/>
        </w:rPr>
        <w:t>通过远程监管等非现场监管方式为企业保驾护航。通过在全国排</w:t>
      </w:r>
      <w:r>
        <w:rPr>
          <w:spacing w:val="7"/>
          <w:sz w:val="29"/>
          <w:szCs w:val="29"/>
        </w:rPr>
        <w:t xml:space="preserve"> </w:t>
      </w:r>
      <w:r>
        <w:rPr>
          <w:spacing w:val="10"/>
          <w:sz w:val="29"/>
          <w:szCs w:val="29"/>
        </w:rPr>
        <w:t>污许可证管理信息平台-管理端查看企业年度执行报</w:t>
      </w:r>
      <w:r>
        <w:rPr>
          <w:spacing w:val="9"/>
          <w:sz w:val="29"/>
          <w:szCs w:val="29"/>
        </w:rPr>
        <w:t>告、重点管</w:t>
      </w:r>
      <w:r>
        <w:rPr>
          <w:sz w:val="29"/>
          <w:szCs w:val="29"/>
        </w:rPr>
        <w:t xml:space="preserve"> </w:t>
      </w:r>
      <w:r>
        <w:rPr>
          <w:spacing w:val="5"/>
          <w:sz w:val="29"/>
          <w:szCs w:val="29"/>
        </w:rPr>
        <w:t>理类企业季度报告填报情况，远程调度企业环境管理情况，助力</w:t>
      </w:r>
      <w:r>
        <w:rPr>
          <w:spacing w:val="6"/>
          <w:sz w:val="29"/>
          <w:szCs w:val="29"/>
        </w:rPr>
        <w:t xml:space="preserve"> </w:t>
      </w:r>
      <w:r>
        <w:rPr>
          <w:spacing w:val="4"/>
          <w:sz w:val="29"/>
          <w:szCs w:val="29"/>
        </w:rPr>
        <w:t>企业绿色高质量发展。</w:t>
      </w:r>
    </w:p>
    <w:p w14:paraId="76226C2E">
      <w:pPr>
        <w:pStyle w:val="2"/>
        <w:spacing w:before="75" w:line="219" w:lineRule="auto"/>
        <w:ind w:left="459"/>
        <w:outlineLvl w:val="0"/>
        <w:rPr>
          <w:sz w:val="29"/>
          <w:szCs w:val="29"/>
        </w:rPr>
      </w:pPr>
      <w:r>
        <w:rPr>
          <w:b/>
          <w:bCs/>
          <w:spacing w:val="-6"/>
          <w:sz w:val="29"/>
          <w:szCs w:val="29"/>
        </w:rPr>
        <w:t>二</w:t>
      </w:r>
      <w:r>
        <w:rPr>
          <w:spacing w:val="-73"/>
          <w:sz w:val="29"/>
          <w:szCs w:val="29"/>
        </w:rPr>
        <w:t xml:space="preserve"> </w:t>
      </w:r>
      <w:r>
        <w:rPr>
          <w:b/>
          <w:bCs/>
          <w:spacing w:val="-6"/>
          <w:sz w:val="29"/>
          <w:szCs w:val="29"/>
        </w:rPr>
        <w:t>、存在的问题</w:t>
      </w:r>
    </w:p>
    <w:p w14:paraId="1D028437">
      <w:pPr>
        <w:pStyle w:val="2"/>
        <w:spacing w:before="282" w:line="222" w:lineRule="auto"/>
        <w:ind w:left="754"/>
        <w:rPr>
          <w:sz w:val="29"/>
          <w:szCs w:val="29"/>
        </w:rPr>
      </w:pPr>
      <w:r>
        <w:rPr>
          <w:spacing w:val="3"/>
          <w:sz w:val="29"/>
          <w:szCs w:val="29"/>
        </w:rPr>
        <w:t>无人机等非现场监装备配备不到位，人员业务水平有待提高</w:t>
      </w:r>
    </w:p>
    <w:p w14:paraId="5D7F8557">
      <w:pPr>
        <w:pStyle w:val="2"/>
        <w:spacing w:before="265" w:line="220" w:lineRule="auto"/>
        <w:ind w:left="599"/>
        <w:outlineLvl w:val="0"/>
        <w:rPr>
          <w:sz w:val="29"/>
          <w:szCs w:val="29"/>
        </w:rPr>
      </w:pPr>
      <w:r>
        <w:rPr>
          <w:b/>
          <w:bCs/>
          <w:spacing w:val="1"/>
          <w:sz w:val="29"/>
          <w:szCs w:val="29"/>
        </w:rPr>
        <w:t>三、下一步工作打算</w:t>
      </w:r>
    </w:p>
    <w:p w14:paraId="43F1404E">
      <w:pPr>
        <w:pStyle w:val="2"/>
        <w:spacing w:before="300" w:line="377" w:lineRule="auto"/>
        <w:ind w:left="135" w:right="219" w:firstLine="609"/>
        <w:jc w:val="both"/>
        <w:rPr>
          <w:sz w:val="29"/>
          <w:szCs w:val="29"/>
        </w:rPr>
      </w:pPr>
      <w:r>
        <w:rPr>
          <w:spacing w:val="4"/>
          <w:sz w:val="29"/>
          <w:szCs w:val="29"/>
        </w:rPr>
        <w:t>拓展非现场执法范围，对企业的重点场所增加视频监控，与</w:t>
      </w:r>
      <w:r>
        <w:rPr>
          <w:sz w:val="29"/>
          <w:szCs w:val="29"/>
        </w:rPr>
        <w:t xml:space="preserve"> </w:t>
      </w:r>
      <w:r>
        <w:rPr>
          <w:spacing w:val="3"/>
          <w:sz w:val="29"/>
          <w:szCs w:val="29"/>
        </w:rPr>
        <w:t>监控中心联网，减少对企业的打扰，及时发现问题解决问题，提</w:t>
      </w:r>
      <w:r>
        <w:rPr>
          <w:spacing w:val="6"/>
          <w:sz w:val="29"/>
          <w:szCs w:val="29"/>
        </w:rPr>
        <w:t xml:space="preserve"> 高工作效率，切实把优化营商环境的工作落到实处</w:t>
      </w:r>
    </w:p>
    <w:p w14:paraId="5F363B86">
      <w:pPr>
        <w:spacing w:before="70"/>
      </w:pPr>
    </w:p>
    <w:p w14:paraId="2EE61121">
      <w:pPr>
        <w:spacing w:before="70"/>
      </w:pPr>
    </w:p>
    <w:p w14:paraId="7D6AA61A">
      <w:pPr>
        <w:sectPr>
          <w:pgSz w:w="12300" w:h="17100"/>
          <w:pgMar w:top="1447" w:right="1845" w:bottom="0" w:left="1845" w:header="0" w:footer="0" w:gutter="0"/>
          <w:cols w:equalWidth="0" w:num="1">
            <w:col w:w="8610"/>
          </w:cols>
        </w:sectPr>
      </w:pPr>
    </w:p>
    <w:p w14:paraId="4DC5AAA0">
      <w:pPr>
        <w:pStyle w:val="2"/>
        <w:spacing w:before="59" w:line="221" w:lineRule="auto"/>
        <w:ind w:left="284"/>
        <w:rPr>
          <w:sz w:val="29"/>
          <w:szCs w:val="29"/>
        </w:rPr>
      </w:pPr>
      <w:r>
        <w:rPr>
          <w:spacing w:val="7"/>
          <w:sz w:val="29"/>
          <w:szCs w:val="29"/>
        </w:rPr>
        <w:t>附件：非现场监管事项清单</w:t>
      </w:r>
    </w:p>
    <w:p w14:paraId="29E8BF6E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59F0CF31">
      <w:pPr>
        <w:spacing w:line="299" w:lineRule="auto"/>
        <w:rPr>
          <w:rFonts w:ascii="Arial"/>
          <w:sz w:val="21"/>
        </w:rPr>
      </w:pPr>
    </w:p>
    <w:p w14:paraId="6BA2F644">
      <w:pPr>
        <w:spacing w:line="300" w:lineRule="auto"/>
        <w:rPr>
          <w:rFonts w:ascii="Arial"/>
          <w:sz w:val="21"/>
        </w:rPr>
      </w:pPr>
    </w:p>
    <w:p w14:paraId="5826BC23">
      <w:pPr>
        <w:spacing w:line="300" w:lineRule="auto"/>
        <w:rPr>
          <w:rFonts w:ascii="Arial"/>
          <w:sz w:val="21"/>
        </w:rPr>
      </w:pPr>
    </w:p>
    <w:p w14:paraId="67D4742C">
      <w:pPr>
        <w:spacing w:line="300" w:lineRule="auto"/>
        <w:rPr>
          <w:rFonts w:ascii="Arial"/>
          <w:sz w:val="21"/>
        </w:rPr>
      </w:pPr>
    </w:p>
    <w:p w14:paraId="28B1C656">
      <w:pPr>
        <w:pStyle w:val="2"/>
        <w:spacing w:before="94" w:line="222" w:lineRule="auto"/>
        <w:rPr>
          <w:sz w:val="29"/>
          <w:szCs w:val="29"/>
        </w:rPr>
      </w:pPr>
      <w:bookmarkStart w:id="0" w:name="_GoBack"/>
      <w:bookmarkEnd w:id="0"/>
      <w:r>
        <w:rPr>
          <w:spacing w:val="9"/>
          <w:sz w:val="29"/>
          <w:szCs w:val="29"/>
        </w:rPr>
        <w:t>周口市生态环境局项城分局</w:t>
      </w:r>
    </w:p>
    <w:p w14:paraId="5EC89213">
      <w:pPr>
        <w:pStyle w:val="2"/>
        <w:spacing w:before="271" w:line="222" w:lineRule="auto"/>
        <w:ind w:left="579"/>
        <w:rPr>
          <w:sz w:val="29"/>
          <w:szCs w:val="29"/>
        </w:rPr>
      </w:pPr>
      <w:r>
        <w:rPr>
          <w:spacing w:val="41"/>
          <w:w w:val="103"/>
          <w:sz w:val="29"/>
          <w:szCs w:val="29"/>
        </w:rPr>
        <w:t>2024年12月24日</w:t>
      </w:r>
    </w:p>
    <w:p w14:paraId="42D0211C">
      <w:pPr>
        <w:spacing w:line="222" w:lineRule="auto"/>
        <w:rPr>
          <w:sz w:val="29"/>
          <w:szCs w:val="29"/>
        </w:rPr>
        <w:sectPr>
          <w:type w:val="continuous"/>
          <w:pgSz w:w="12300" w:h="17100"/>
          <w:pgMar w:top="1447" w:right="1845" w:bottom="0" w:left="1845" w:header="0" w:footer="0" w:gutter="0"/>
          <w:cols w:equalWidth="0" w:num="2">
            <w:col w:w="4505" w:space="100"/>
            <w:col w:w="4006"/>
          </w:cols>
        </w:sectPr>
      </w:pPr>
    </w:p>
    <w:p w14:paraId="0AEE7079">
      <w:pPr>
        <w:spacing w:before="71" w:line="224" w:lineRule="auto"/>
        <w:ind w:left="63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b/>
          <w:bCs/>
          <w:spacing w:val="-21"/>
          <w:sz w:val="35"/>
          <w:szCs w:val="35"/>
        </w:rPr>
        <w:t>附</w:t>
      </w:r>
      <w:r>
        <w:rPr>
          <w:rFonts w:ascii="黑体" w:hAnsi="黑体" w:eastAsia="黑体" w:cs="黑体"/>
          <w:spacing w:val="-45"/>
          <w:sz w:val="35"/>
          <w:szCs w:val="35"/>
        </w:rPr>
        <w:t xml:space="preserve"> </w:t>
      </w:r>
      <w:r>
        <w:rPr>
          <w:rFonts w:ascii="黑体" w:hAnsi="黑体" w:eastAsia="黑体" w:cs="黑体"/>
          <w:b/>
          <w:bCs/>
          <w:spacing w:val="-21"/>
          <w:sz w:val="35"/>
          <w:szCs w:val="35"/>
        </w:rPr>
        <w:t>件</w:t>
      </w:r>
    </w:p>
    <w:p w14:paraId="34BEAE40">
      <w:pPr>
        <w:spacing w:before="298" w:line="274" w:lineRule="auto"/>
        <w:ind w:left="2801" w:right="996" w:hanging="1950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b/>
          <w:bCs/>
          <w:spacing w:val="3"/>
          <w:sz w:val="43"/>
          <w:szCs w:val="43"/>
          <w:u w:val="single" w:color="auto"/>
        </w:rPr>
        <w:t>周口市生态环境局现场分局</w:t>
      </w:r>
      <w:r>
        <w:rPr>
          <w:rFonts w:ascii="黑体" w:hAnsi="黑体" w:eastAsia="黑体" w:cs="黑体"/>
          <w:spacing w:val="3"/>
          <w:sz w:val="43"/>
          <w:szCs w:val="43"/>
        </w:rPr>
        <w:t xml:space="preserve">  </w:t>
      </w:r>
      <w:r>
        <w:rPr>
          <w:rFonts w:ascii="黑体" w:hAnsi="黑体" w:eastAsia="黑体" w:cs="黑体"/>
          <w:b/>
          <w:bCs/>
          <w:spacing w:val="3"/>
          <w:sz w:val="43"/>
          <w:szCs w:val="43"/>
        </w:rPr>
        <w:t>(部门)非现</w:t>
      </w:r>
      <w:r>
        <w:rPr>
          <w:rFonts w:ascii="黑体" w:hAnsi="黑体" w:eastAsia="黑体" w:cs="黑体"/>
          <w:spacing w:val="10"/>
          <w:sz w:val="43"/>
          <w:szCs w:val="43"/>
        </w:rPr>
        <w:t xml:space="preserve"> </w:t>
      </w:r>
      <w:r>
        <w:rPr>
          <w:rFonts w:ascii="黑体" w:hAnsi="黑体" w:eastAsia="黑体" w:cs="黑体"/>
          <w:b/>
          <w:bCs/>
          <w:spacing w:val="-6"/>
          <w:sz w:val="43"/>
          <w:szCs w:val="43"/>
        </w:rPr>
        <w:t>场监管事项事项清单</w:t>
      </w:r>
    </w:p>
    <w:p w14:paraId="7CE9A3A4">
      <w:pPr>
        <w:spacing w:line="51" w:lineRule="exact"/>
      </w:pPr>
    </w:p>
    <w:tbl>
      <w:tblPr>
        <w:tblStyle w:val="5"/>
        <w:tblW w:w="97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989"/>
        <w:gridCol w:w="1458"/>
        <w:gridCol w:w="2058"/>
        <w:gridCol w:w="2098"/>
        <w:gridCol w:w="2472"/>
      </w:tblGrid>
      <w:tr w14:paraId="22E3F8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4" w:hRule="atLeast"/>
        </w:trPr>
        <w:tc>
          <w:tcPr>
            <w:tcW w:w="654" w:type="dxa"/>
            <w:textDirection w:val="tbRlV"/>
            <w:vAlign w:val="top"/>
          </w:tcPr>
          <w:p w14:paraId="1B3DE828">
            <w:pPr>
              <w:pStyle w:val="6"/>
              <w:spacing w:before="223" w:line="199" w:lineRule="auto"/>
              <w:ind w:left="232"/>
            </w:pPr>
            <w:r>
              <w:t>序</w:t>
            </w:r>
            <w:r>
              <w:rPr>
                <w:spacing w:val="98"/>
              </w:rPr>
              <w:t xml:space="preserve"> </w:t>
            </w:r>
            <w:r>
              <w:t>号</w:t>
            </w:r>
          </w:p>
        </w:tc>
        <w:tc>
          <w:tcPr>
            <w:tcW w:w="989" w:type="dxa"/>
            <w:vAlign w:val="top"/>
          </w:tcPr>
          <w:p w14:paraId="1C54BC7B">
            <w:pPr>
              <w:pStyle w:val="6"/>
              <w:spacing w:before="253" w:line="296" w:lineRule="auto"/>
              <w:ind w:left="120" w:right="125"/>
            </w:pPr>
            <w:r>
              <w:rPr>
                <w:spacing w:val="3"/>
              </w:rPr>
              <w:t>监管事</w:t>
            </w:r>
            <w:r>
              <w:rPr>
                <w:spacing w:val="1"/>
              </w:rPr>
              <w:t xml:space="preserve"> </w:t>
            </w:r>
            <w:r>
              <w:rPr>
                <w:spacing w:val="4"/>
              </w:rPr>
              <w:t>项名称</w:t>
            </w:r>
          </w:p>
        </w:tc>
        <w:tc>
          <w:tcPr>
            <w:tcW w:w="1458" w:type="dxa"/>
            <w:vAlign w:val="top"/>
          </w:tcPr>
          <w:p w14:paraId="10CFEB9C">
            <w:pPr>
              <w:spacing w:line="395" w:lineRule="auto"/>
              <w:rPr>
                <w:rFonts w:ascii="Arial"/>
                <w:sz w:val="21"/>
              </w:rPr>
            </w:pPr>
          </w:p>
          <w:p w14:paraId="48823B34">
            <w:pPr>
              <w:pStyle w:val="6"/>
              <w:spacing w:before="78" w:line="220" w:lineRule="auto"/>
              <w:ind w:left="242"/>
            </w:pPr>
            <w:r>
              <w:rPr>
                <w:spacing w:val="-2"/>
              </w:rPr>
              <w:t>事项描述</w:t>
            </w:r>
          </w:p>
        </w:tc>
        <w:tc>
          <w:tcPr>
            <w:tcW w:w="2058" w:type="dxa"/>
            <w:vAlign w:val="top"/>
          </w:tcPr>
          <w:p w14:paraId="65797C49">
            <w:pPr>
              <w:pStyle w:val="6"/>
              <w:spacing w:before="14" w:line="221" w:lineRule="auto"/>
              <w:ind w:left="124" w:right="71" w:firstLine="119"/>
            </w:pPr>
            <w:r>
              <w:rPr>
                <w:spacing w:val="-2"/>
              </w:rPr>
              <w:t>适用情形(1.远</w:t>
            </w:r>
            <w:r>
              <w:rPr>
                <w:spacing w:val="2"/>
              </w:rPr>
              <w:t xml:space="preserve">  </w:t>
            </w:r>
            <w:r>
              <w:rPr>
                <w:spacing w:val="9"/>
              </w:rPr>
              <w:t>程监管、2.移动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监管、3.扫码监</w:t>
            </w:r>
            <w:r>
              <w:rPr>
                <w:spacing w:val="2"/>
              </w:rPr>
              <w:t xml:space="preserve">  </w:t>
            </w:r>
            <w:r>
              <w:rPr>
                <w:spacing w:val="5"/>
              </w:rPr>
              <w:t>管、4.网络监管)</w:t>
            </w:r>
          </w:p>
        </w:tc>
        <w:tc>
          <w:tcPr>
            <w:tcW w:w="2098" w:type="dxa"/>
            <w:vAlign w:val="top"/>
          </w:tcPr>
          <w:p w14:paraId="3D63EF08">
            <w:pPr>
              <w:pStyle w:val="6"/>
              <w:spacing w:before="274" w:line="219" w:lineRule="auto"/>
              <w:ind w:left="565"/>
            </w:pPr>
            <w:r>
              <w:rPr>
                <w:spacing w:val="-2"/>
              </w:rPr>
              <w:t>监管方式</w:t>
            </w:r>
          </w:p>
          <w:p w14:paraId="3A741BD7">
            <w:pPr>
              <w:pStyle w:val="6"/>
              <w:spacing w:before="95" w:line="219" w:lineRule="auto"/>
              <w:ind w:left="205"/>
            </w:pPr>
            <w:r>
              <w:rPr>
                <w:spacing w:val="6"/>
              </w:rPr>
              <w:t>(使用系统名称)</w:t>
            </w:r>
          </w:p>
        </w:tc>
        <w:tc>
          <w:tcPr>
            <w:tcW w:w="2472" w:type="dxa"/>
            <w:vAlign w:val="top"/>
          </w:tcPr>
          <w:p w14:paraId="4A25DCCD">
            <w:pPr>
              <w:spacing w:line="395" w:lineRule="auto"/>
              <w:rPr>
                <w:rFonts w:ascii="Arial"/>
                <w:sz w:val="21"/>
              </w:rPr>
            </w:pPr>
          </w:p>
          <w:p w14:paraId="57EFECC7">
            <w:pPr>
              <w:pStyle w:val="6"/>
              <w:spacing w:before="78" w:line="220" w:lineRule="auto"/>
              <w:ind w:left="748"/>
            </w:pPr>
            <w:r>
              <w:rPr>
                <w:spacing w:val="2"/>
              </w:rPr>
              <w:t>实施主体</w:t>
            </w:r>
          </w:p>
        </w:tc>
      </w:tr>
      <w:tr w14:paraId="02BE89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7" w:hRule="atLeast"/>
        </w:trPr>
        <w:tc>
          <w:tcPr>
            <w:tcW w:w="654" w:type="dxa"/>
            <w:vAlign w:val="top"/>
          </w:tcPr>
          <w:p w14:paraId="73AD1E22">
            <w:pPr>
              <w:spacing w:line="253" w:lineRule="auto"/>
              <w:rPr>
                <w:rFonts w:ascii="Arial"/>
                <w:sz w:val="21"/>
              </w:rPr>
            </w:pPr>
          </w:p>
          <w:p w14:paraId="79CEC827">
            <w:pPr>
              <w:spacing w:line="253" w:lineRule="auto"/>
              <w:rPr>
                <w:rFonts w:ascii="Arial"/>
                <w:sz w:val="21"/>
              </w:rPr>
            </w:pPr>
          </w:p>
          <w:p w14:paraId="6BBB95D7">
            <w:pPr>
              <w:spacing w:line="253" w:lineRule="auto"/>
              <w:rPr>
                <w:rFonts w:ascii="Arial"/>
                <w:sz w:val="21"/>
              </w:rPr>
            </w:pPr>
          </w:p>
          <w:p w14:paraId="4D418265">
            <w:pPr>
              <w:spacing w:line="253" w:lineRule="auto"/>
              <w:rPr>
                <w:rFonts w:ascii="Arial"/>
                <w:sz w:val="21"/>
              </w:rPr>
            </w:pPr>
          </w:p>
          <w:p w14:paraId="6D45646B">
            <w:pPr>
              <w:spacing w:line="253" w:lineRule="auto"/>
              <w:rPr>
                <w:rFonts w:ascii="Arial"/>
                <w:sz w:val="21"/>
              </w:rPr>
            </w:pPr>
          </w:p>
          <w:p w14:paraId="6B3CA1DF">
            <w:pPr>
              <w:pStyle w:val="6"/>
              <w:spacing w:before="78" w:line="184" w:lineRule="auto"/>
              <w:ind w:left="254"/>
            </w:pPr>
            <w:r>
              <w:t>1</w:t>
            </w:r>
          </w:p>
        </w:tc>
        <w:tc>
          <w:tcPr>
            <w:tcW w:w="989" w:type="dxa"/>
            <w:vAlign w:val="top"/>
          </w:tcPr>
          <w:p w14:paraId="5FB54E1C">
            <w:pPr>
              <w:spacing w:line="309" w:lineRule="auto"/>
              <w:rPr>
                <w:rFonts w:ascii="Arial"/>
                <w:sz w:val="21"/>
              </w:rPr>
            </w:pPr>
          </w:p>
          <w:p w14:paraId="5606FCCA">
            <w:pPr>
              <w:spacing w:line="310" w:lineRule="auto"/>
              <w:rPr>
                <w:rFonts w:ascii="Arial"/>
                <w:sz w:val="21"/>
              </w:rPr>
            </w:pPr>
          </w:p>
          <w:p w14:paraId="5D92B5A1">
            <w:pPr>
              <w:pStyle w:val="6"/>
              <w:spacing w:before="78" w:line="220" w:lineRule="auto"/>
              <w:ind w:left="120"/>
            </w:pPr>
            <w:r>
              <w:rPr>
                <w:spacing w:val="-3"/>
              </w:rPr>
              <w:t>排污许</w:t>
            </w:r>
          </w:p>
          <w:p w14:paraId="66DC731B">
            <w:pPr>
              <w:pStyle w:val="6"/>
              <w:spacing w:before="114" w:line="220" w:lineRule="auto"/>
              <w:ind w:left="120"/>
            </w:pPr>
            <w:r>
              <w:rPr>
                <w:spacing w:val="4"/>
              </w:rPr>
              <w:t>可证实</w:t>
            </w:r>
          </w:p>
          <w:p w14:paraId="4AF5A7CE">
            <w:pPr>
              <w:pStyle w:val="6"/>
              <w:spacing w:before="103" w:line="219" w:lineRule="auto"/>
              <w:ind w:left="120"/>
            </w:pPr>
            <w:r>
              <w:rPr>
                <w:spacing w:val="4"/>
              </w:rPr>
              <w:t>施与管</w:t>
            </w:r>
          </w:p>
          <w:p w14:paraId="29969C6F">
            <w:pPr>
              <w:pStyle w:val="6"/>
              <w:spacing w:before="128" w:line="229" w:lineRule="auto"/>
              <w:ind w:left="361"/>
            </w:pPr>
            <w:r>
              <w:t>理</w:t>
            </w:r>
          </w:p>
        </w:tc>
        <w:tc>
          <w:tcPr>
            <w:tcW w:w="1458" w:type="dxa"/>
            <w:vAlign w:val="top"/>
          </w:tcPr>
          <w:p w14:paraId="550E745F">
            <w:pPr>
              <w:pStyle w:val="6"/>
              <w:spacing w:before="86" w:line="299" w:lineRule="auto"/>
              <w:ind w:left="92" w:right="113" w:firstLine="29"/>
              <w:jc w:val="both"/>
            </w:pPr>
            <w:r>
              <w:rPr>
                <w:spacing w:val="2"/>
              </w:rPr>
              <w:t>通过平台查</w:t>
            </w:r>
            <w:r>
              <w:rPr>
                <w:spacing w:val="1"/>
              </w:rPr>
              <w:t xml:space="preserve"> </w:t>
            </w:r>
            <w:r>
              <w:rPr>
                <w:spacing w:val="4"/>
              </w:rPr>
              <w:t>看企业提交</w:t>
            </w:r>
            <w:r>
              <w:t xml:space="preserve"> </w:t>
            </w:r>
            <w:r>
              <w:rPr>
                <w:spacing w:val="20"/>
              </w:rPr>
              <w:t>的季报(或</w:t>
            </w:r>
            <w:r>
              <w:t xml:space="preserve"> </w:t>
            </w:r>
            <w:r>
              <w:rPr>
                <w:spacing w:val="20"/>
              </w:rPr>
              <w:t>年报)来核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>实企业排污</w:t>
            </w:r>
            <w:r>
              <w:rPr>
                <w:spacing w:val="1"/>
              </w:rPr>
              <w:t xml:space="preserve"> </w:t>
            </w:r>
            <w:r>
              <w:rPr>
                <w:spacing w:val="8"/>
              </w:rPr>
              <w:t>许可执行情</w:t>
            </w:r>
            <w:r>
              <w:t xml:space="preserve"> 况</w:t>
            </w:r>
          </w:p>
        </w:tc>
        <w:tc>
          <w:tcPr>
            <w:tcW w:w="2058" w:type="dxa"/>
            <w:vAlign w:val="top"/>
          </w:tcPr>
          <w:p w14:paraId="28E9A069">
            <w:pPr>
              <w:spacing w:line="241" w:lineRule="auto"/>
              <w:rPr>
                <w:rFonts w:ascii="Arial"/>
                <w:sz w:val="21"/>
              </w:rPr>
            </w:pPr>
          </w:p>
          <w:p w14:paraId="1402D5B3">
            <w:pPr>
              <w:spacing w:line="241" w:lineRule="auto"/>
              <w:rPr>
                <w:rFonts w:ascii="Arial"/>
                <w:sz w:val="21"/>
              </w:rPr>
            </w:pPr>
          </w:p>
          <w:p w14:paraId="15DC1946">
            <w:pPr>
              <w:spacing w:line="241" w:lineRule="auto"/>
              <w:rPr>
                <w:rFonts w:ascii="Arial"/>
                <w:sz w:val="21"/>
              </w:rPr>
            </w:pPr>
          </w:p>
          <w:p w14:paraId="7DDDC44F">
            <w:pPr>
              <w:spacing w:line="241" w:lineRule="auto"/>
              <w:rPr>
                <w:rFonts w:ascii="Arial"/>
                <w:sz w:val="21"/>
              </w:rPr>
            </w:pPr>
          </w:p>
          <w:p w14:paraId="5051D666">
            <w:pPr>
              <w:spacing w:line="241" w:lineRule="auto"/>
              <w:rPr>
                <w:rFonts w:ascii="Arial"/>
                <w:sz w:val="21"/>
              </w:rPr>
            </w:pPr>
          </w:p>
          <w:p w14:paraId="276A3804">
            <w:pPr>
              <w:pStyle w:val="6"/>
              <w:spacing w:before="78" w:line="219" w:lineRule="auto"/>
              <w:ind w:left="423"/>
            </w:pPr>
            <w:r>
              <w:rPr>
                <w:spacing w:val="2"/>
              </w:rPr>
              <w:t>1.远程监管</w:t>
            </w:r>
          </w:p>
        </w:tc>
        <w:tc>
          <w:tcPr>
            <w:tcW w:w="2098" w:type="dxa"/>
            <w:vAlign w:val="top"/>
          </w:tcPr>
          <w:p w14:paraId="69A112EB">
            <w:pPr>
              <w:spacing w:line="269" w:lineRule="auto"/>
              <w:rPr>
                <w:rFonts w:ascii="Arial"/>
                <w:sz w:val="21"/>
              </w:rPr>
            </w:pPr>
          </w:p>
          <w:p w14:paraId="0D968E2E">
            <w:pPr>
              <w:spacing w:line="269" w:lineRule="auto"/>
              <w:rPr>
                <w:rFonts w:ascii="Arial"/>
                <w:sz w:val="21"/>
              </w:rPr>
            </w:pPr>
          </w:p>
          <w:p w14:paraId="79590C83">
            <w:pPr>
              <w:spacing w:line="270" w:lineRule="auto"/>
              <w:rPr>
                <w:rFonts w:ascii="Arial"/>
                <w:sz w:val="21"/>
              </w:rPr>
            </w:pPr>
          </w:p>
          <w:p w14:paraId="688A8612">
            <w:pPr>
              <w:pStyle w:val="6"/>
              <w:spacing w:before="78" w:line="220" w:lineRule="auto"/>
              <w:ind w:left="205"/>
            </w:pPr>
            <w:r>
              <w:rPr>
                <w:spacing w:val="-2"/>
              </w:rPr>
              <w:t>全国排污许可证</w:t>
            </w:r>
          </w:p>
          <w:p w14:paraId="6C923008">
            <w:pPr>
              <w:pStyle w:val="6"/>
              <w:spacing w:before="103" w:line="219" w:lineRule="auto"/>
              <w:ind w:left="145"/>
            </w:pPr>
            <w:r>
              <w:rPr>
                <w:spacing w:val="1"/>
              </w:rPr>
              <w:t>管理信息平台-管</w:t>
            </w:r>
          </w:p>
          <w:p w14:paraId="322D9C22">
            <w:pPr>
              <w:pStyle w:val="6"/>
              <w:spacing w:before="125" w:line="219" w:lineRule="auto"/>
              <w:ind w:left="805"/>
            </w:pPr>
            <w:r>
              <w:rPr>
                <w:spacing w:val="6"/>
              </w:rPr>
              <w:t>理端</w:t>
            </w:r>
          </w:p>
        </w:tc>
        <w:tc>
          <w:tcPr>
            <w:tcW w:w="2472" w:type="dxa"/>
            <w:vAlign w:val="top"/>
          </w:tcPr>
          <w:p w14:paraId="2D9CE7CC">
            <w:pPr>
              <w:spacing w:line="251" w:lineRule="auto"/>
              <w:rPr>
                <w:rFonts w:ascii="Arial"/>
                <w:sz w:val="21"/>
              </w:rPr>
            </w:pPr>
          </w:p>
          <w:p w14:paraId="3304E27E">
            <w:pPr>
              <w:spacing w:line="252" w:lineRule="auto"/>
              <w:rPr>
                <w:rFonts w:ascii="Arial"/>
                <w:sz w:val="21"/>
              </w:rPr>
            </w:pPr>
          </w:p>
          <w:p w14:paraId="591BA43A">
            <w:pPr>
              <w:spacing w:line="252" w:lineRule="auto"/>
              <w:rPr>
                <w:rFonts w:ascii="Arial"/>
                <w:sz w:val="21"/>
              </w:rPr>
            </w:pPr>
          </w:p>
          <w:p w14:paraId="551F84D6">
            <w:pPr>
              <w:spacing w:line="252" w:lineRule="auto"/>
              <w:rPr>
                <w:rFonts w:ascii="Arial"/>
                <w:sz w:val="21"/>
              </w:rPr>
            </w:pPr>
          </w:p>
          <w:p w14:paraId="7A3EC998">
            <w:pPr>
              <w:pStyle w:val="6"/>
              <w:spacing w:before="78" w:line="295" w:lineRule="auto"/>
              <w:ind w:left="867" w:right="164" w:hanging="719"/>
            </w:pPr>
            <w:r>
              <w:rPr>
                <w:spacing w:val="-2"/>
              </w:rPr>
              <w:t>周口市生态环境局现</w:t>
            </w:r>
            <w:r>
              <w:rPr>
                <w:spacing w:val="6"/>
              </w:rPr>
              <w:t xml:space="preserve"> </w:t>
            </w:r>
            <w:r>
              <w:rPr>
                <w:spacing w:val="7"/>
              </w:rPr>
              <w:t>场分局</w:t>
            </w:r>
          </w:p>
        </w:tc>
      </w:tr>
      <w:tr w14:paraId="278F80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9" w:hRule="atLeast"/>
        </w:trPr>
        <w:tc>
          <w:tcPr>
            <w:tcW w:w="654" w:type="dxa"/>
            <w:vAlign w:val="top"/>
          </w:tcPr>
          <w:p w14:paraId="2C0BFC71">
            <w:pPr>
              <w:spacing w:line="326" w:lineRule="auto"/>
              <w:rPr>
                <w:rFonts w:ascii="Arial"/>
                <w:sz w:val="21"/>
              </w:rPr>
            </w:pPr>
          </w:p>
          <w:p w14:paraId="6C2DD5FA">
            <w:pPr>
              <w:spacing w:line="327" w:lineRule="auto"/>
              <w:rPr>
                <w:rFonts w:ascii="Arial"/>
                <w:sz w:val="21"/>
              </w:rPr>
            </w:pPr>
          </w:p>
          <w:p w14:paraId="14E7119E">
            <w:pPr>
              <w:pStyle w:val="6"/>
              <w:spacing w:before="78" w:line="183" w:lineRule="auto"/>
              <w:ind w:left="254"/>
            </w:pPr>
            <w:r>
              <w:t>2</w:t>
            </w:r>
          </w:p>
        </w:tc>
        <w:tc>
          <w:tcPr>
            <w:tcW w:w="989" w:type="dxa"/>
            <w:vAlign w:val="top"/>
          </w:tcPr>
          <w:p w14:paraId="412E5078">
            <w:pPr>
              <w:pStyle w:val="6"/>
              <w:spacing w:before="284" w:line="220" w:lineRule="auto"/>
              <w:ind w:left="120"/>
            </w:pPr>
            <w:r>
              <w:rPr>
                <w:spacing w:val="3"/>
              </w:rPr>
              <w:t>污染源</w:t>
            </w:r>
          </w:p>
          <w:p w14:paraId="1F0AA174">
            <w:pPr>
              <w:pStyle w:val="6"/>
              <w:spacing w:before="114" w:line="228" w:lineRule="auto"/>
              <w:ind w:left="120"/>
            </w:pPr>
            <w:r>
              <w:rPr>
                <w:spacing w:val="3"/>
              </w:rPr>
              <w:t>企业监</w:t>
            </w:r>
          </w:p>
          <w:p w14:paraId="4553865D">
            <w:pPr>
              <w:pStyle w:val="6"/>
              <w:spacing w:before="83" w:line="220" w:lineRule="auto"/>
              <w:ind w:left="361"/>
            </w:pPr>
            <w:r>
              <w:t>控</w:t>
            </w:r>
          </w:p>
        </w:tc>
        <w:tc>
          <w:tcPr>
            <w:tcW w:w="1458" w:type="dxa"/>
            <w:vAlign w:val="top"/>
          </w:tcPr>
          <w:p w14:paraId="6FAD86BB">
            <w:pPr>
              <w:pStyle w:val="6"/>
              <w:spacing w:before="67" w:line="221" w:lineRule="auto"/>
              <w:ind w:left="121"/>
            </w:pPr>
            <w:r>
              <w:rPr>
                <w:spacing w:val="2"/>
              </w:rPr>
              <w:t>通过平台查</w:t>
            </w:r>
          </w:p>
          <w:p w14:paraId="6DECE8E2">
            <w:pPr>
              <w:pStyle w:val="6"/>
              <w:spacing w:before="119" w:line="219" w:lineRule="auto"/>
              <w:ind w:left="121"/>
            </w:pPr>
            <w:r>
              <w:rPr>
                <w:spacing w:val="2"/>
              </w:rPr>
              <w:t>看企业的污</w:t>
            </w:r>
          </w:p>
          <w:p w14:paraId="44BA2FD6">
            <w:pPr>
              <w:pStyle w:val="6"/>
              <w:spacing w:before="105" w:line="220" w:lineRule="auto"/>
              <w:ind w:left="121"/>
            </w:pPr>
            <w:r>
              <w:rPr>
                <w:spacing w:val="2"/>
              </w:rPr>
              <w:t>染物排放情</w:t>
            </w:r>
          </w:p>
          <w:p w14:paraId="4776B6A7">
            <w:pPr>
              <w:pStyle w:val="6"/>
              <w:spacing w:before="123" w:line="220" w:lineRule="auto"/>
              <w:ind w:left="601"/>
            </w:pPr>
            <w:r>
              <w:t>况</w:t>
            </w:r>
          </w:p>
        </w:tc>
        <w:tc>
          <w:tcPr>
            <w:tcW w:w="2058" w:type="dxa"/>
            <w:vAlign w:val="top"/>
          </w:tcPr>
          <w:p w14:paraId="3AD85F29">
            <w:pPr>
              <w:spacing w:line="296" w:lineRule="auto"/>
              <w:rPr>
                <w:rFonts w:ascii="Arial"/>
                <w:sz w:val="21"/>
              </w:rPr>
            </w:pPr>
          </w:p>
          <w:p w14:paraId="4D83F298">
            <w:pPr>
              <w:spacing w:line="296" w:lineRule="auto"/>
              <w:rPr>
                <w:rFonts w:ascii="Arial"/>
                <w:sz w:val="21"/>
              </w:rPr>
            </w:pPr>
          </w:p>
          <w:p w14:paraId="295706D5">
            <w:pPr>
              <w:pStyle w:val="6"/>
              <w:spacing w:before="78" w:line="219" w:lineRule="auto"/>
              <w:ind w:left="423"/>
            </w:pPr>
            <w:r>
              <w:rPr>
                <w:spacing w:val="2"/>
              </w:rPr>
              <w:t>4.网络监管</w:t>
            </w:r>
          </w:p>
        </w:tc>
        <w:tc>
          <w:tcPr>
            <w:tcW w:w="2098" w:type="dxa"/>
            <w:vAlign w:val="top"/>
          </w:tcPr>
          <w:p w14:paraId="4FAF40EB">
            <w:pPr>
              <w:pStyle w:val="6"/>
              <w:spacing w:before="94" w:line="220" w:lineRule="auto"/>
              <w:ind w:left="205"/>
            </w:pPr>
            <w:r>
              <w:rPr>
                <w:spacing w:val="5"/>
              </w:rPr>
              <w:t>重点排污单位自</w:t>
            </w:r>
          </w:p>
          <w:p w14:paraId="53955038">
            <w:pPr>
              <w:pStyle w:val="6"/>
              <w:spacing w:before="103" w:line="219" w:lineRule="auto"/>
              <w:ind w:left="205"/>
            </w:pPr>
            <w:r>
              <w:rPr>
                <w:spacing w:val="1"/>
              </w:rPr>
              <w:t>动监控与基础数</w:t>
            </w:r>
          </w:p>
          <w:p w14:paraId="55071953">
            <w:pPr>
              <w:pStyle w:val="6"/>
              <w:spacing w:before="105" w:line="219" w:lineRule="auto"/>
              <w:ind w:left="266"/>
            </w:pPr>
            <w:r>
              <w:rPr>
                <w:spacing w:val="-2"/>
              </w:rPr>
              <w:t>据库系统(管理</w:t>
            </w:r>
          </w:p>
          <w:p w14:paraId="76442B9A">
            <w:pPr>
              <w:pStyle w:val="6"/>
              <w:spacing w:before="95" w:line="219" w:lineRule="auto"/>
              <w:ind w:left="866"/>
            </w:pPr>
            <w:r>
              <w:rPr>
                <w:spacing w:val="-6"/>
              </w:rPr>
              <w:t>端</w:t>
            </w:r>
            <w:r>
              <w:rPr>
                <w:spacing w:val="-47"/>
              </w:rPr>
              <w:t xml:space="preserve"> </w:t>
            </w:r>
            <w:r>
              <w:rPr>
                <w:spacing w:val="-6"/>
              </w:rPr>
              <w:t>)</w:t>
            </w:r>
          </w:p>
        </w:tc>
        <w:tc>
          <w:tcPr>
            <w:tcW w:w="2472" w:type="dxa"/>
            <w:vAlign w:val="top"/>
          </w:tcPr>
          <w:p w14:paraId="58659263">
            <w:pPr>
              <w:spacing w:line="403" w:lineRule="auto"/>
              <w:rPr>
                <w:rFonts w:ascii="Arial"/>
                <w:sz w:val="21"/>
              </w:rPr>
            </w:pPr>
          </w:p>
          <w:p w14:paraId="428D90DD">
            <w:pPr>
              <w:pStyle w:val="6"/>
              <w:spacing w:before="78" w:line="271" w:lineRule="auto"/>
              <w:ind w:left="867" w:right="139" w:hanging="719"/>
            </w:pPr>
            <w:r>
              <w:rPr>
                <w:spacing w:val="1"/>
              </w:rPr>
              <w:t>周口市生态环境局项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城分局</w:t>
            </w:r>
          </w:p>
        </w:tc>
      </w:tr>
      <w:tr w14:paraId="47AA1E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9" w:hRule="atLeast"/>
        </w:trPr>
        <w:tc>
          <w:tcPr>
            <w:tcW w:w="654" w:type="dxa"/>
            <w:vAlign w:val="top"/>
          </w:tcPr>
          <w:p w14:paraId="7EDEE144">
            <w:pPr>
              <w:spacing w:line="337" w:lineRule="auto"/>
              <w:rPr>
                <w:rFonts w:ascii="Arial"/>
                <w:sz w:val="21"/>
              </w:rPr>
            </w:pPr>
          </w:p>
          <w:p w14:paraId="24E3BF7D">
            <w:pPr>
              <w:spacing w:line="337" w:lineRule="auto"/>
              <w:rPr>
                <w:rFonts w:ascii="Arial"/>
                <w:sz w:val="21"/>
              </w:rPr>
            </w:pPr>
          </w:p>
          <w:p w14:paraId="26312499">
            <w:pPr>
              <w:pStyle w:val="6"/>
              <w:spacing w:before="78" w:line="183" w:lineRule="auto"/>
              <w:ind w:left="254"/>
            </w:pPr>
            <w:r>
              <w:t>3</w:t>
            </w:r>
          </w:p>
        </w:tc>
        <w:tc>
          <w:tcPr>
            <w:tcW w:w="989" w:type="dxa"/>
            <w:vAlign w:val="top"/>
          </w:tcPr>
          <w:p w14:paraId="32B53887">
            <w:pPr>
              <w:pStyle w:val="6"/>
              <w:spacing w:before="85" w:line="220" w:lineRule="auto"/>
              <w:ind w:left="120"/>
            </w:pPr>
            <w:r>
              <w:rPr>
                <w:spacing w:val="3"/>
              </w:rPr>
              <w:t>污染源</w:t>
            </w:r>
          </w:p>
          <w:p w14:paraId="75804F8C">
            <w:pPr>
              <w:pStyle w:val="6"/>
              <w:spacing w:before="113" w:line="220" w:lineRule="auto"/>
              <w:ind w:left="120"/>
            </w:pPr>
            <w:r>
              <w:rPr>
                <w:spacing w:val="3"/>
              </w:rPr>
              <w:t>自行监</w:t>
            </w:r>
          </w:p>
          <w:p w14:paraId="6E35B7D1">
            <w:pPr>
              <w:pStyle w:val="6"/>
              <w:spacing w:before="123" w:line="219" w:lineRule="auto"/>
              <w:ind w:left="120"/>
            </w:pPr>
            <w:r>
              <w:rPr>
                <w:spacing w:val="5"/>
              </w:rPr>
              <w:t>测信息</w:t>
            </w:r>
          </w:p>
          <w:p w14:paraId="502C8749">
            <w:pPr>
              <w:pStyle w:val="6"/>
              <w:spacing w:before="106" w:line="221" w:lineRule="auto"/>
              <w:ind w:left="241"/>
            </w:pPr>
            <w:r>
              <w:rPr>
                <w:spacing w:val="5"/>
              </w:rPr>
              <w:t>公开</w:t>
            </w:r>
          </w:p>
        </w:tc>
        <w:tc>
          <w:tcPr>
            <w:tcW w:w="1458" w:type="dxa"/>
            <w:vAlign w:val="top"/>
          </w:tcPr>
          <w:p w14:paraId="43EEECD9">
            <w:pPr>
              <w:pStyle w:val="6"/>
              <w:spacing w:before="95" w:line="220" w:lineRule="auto"/>
              <w:ind w:left="121"/>
            </w:pPr>
            <w:r>
              <w:rPr>
                <w:spacing w:val="-2"/>
              </w:rPr>
              <w:t>全国污染源</w:t>
            </w:r>
          </w:p>
          <w:p w14:paraId="1AE03A68">
            <w:pPr>
              <w:pStyle w:val="6"/>
              <w:spacing w:before="113" w:line="219" w:lineRule="auto"/>
              <w:ind w:left="121"/>
            </w:pPr>
            <w:r>
              <w:rPr>
                <w:spacing w:val="2"/>
              </w:rPr>
              <w:t>监测数据管</w:t>
            </w:r>
          </w:p>
          <w:p w14:paraId="425E7749">
            <w:pPr>
              <w:pStyle w:val="6"/>
              <w:spacing w:before="125" w:line="219" w:lineRule="auto"/>
              <w:ind w:left="121"/>
            </w:pPr>
            <w:r>
              <w:rPr>
                <w:spacing w:val="4"/>
              </w:rPr>
              <w:t>理与共享系</w:t>
            </w:r>
          </w:p>
          <w:p w14:paraId="34830375">
            <w:pPr>
              <w:pStyle w:val="6"/>
              <w:spacing w:before="106" w:line="221" w:lineRule="auto"/>
              <w:ind w:left="601"/>
            </w:pPr>
            <w:r>
              <w:t>统</w:t>
            </w:r>
          </w:p>
        </w:tc>
        <w:tc>
          <w:tcPr>
            <w:tcW w:w="2058" w:type="dxa"/>
            <w:vAlign w:val="top"/>
          </w:tcPr>
          <w:p w14:paraId="399574B7">
            <w:pPr>
              <w:spacing w:line="306" w:lineRule="auto"/>
              <w:rPr>
                <w:rFonts w:ascii="Arial"/>
                <w:sz w:val="21"/>
              </w:rPr>
            </w:pPr>
          </w:p>
          <w:p w14:paraId="13046237">
            <w:pPr>
              <w:spacing w:line="307" w:lineRule="auto"/>
              <w:rPr>
                <w:rFonts w:ascii="Arial"/>
                <w:sz w:val="21"/>
              </w:rPr>
            </w:pPr>
          </w:p>
          <w:p w14:paraId="40E11EFD">
            <w:pPr>
              <w:pStyle w:val="6"/>
              <w:spacing w:before="78" w:line="219" w:lineRule="auto"/>
              <w:ind w:left="423"/>
            </w:pPr>
            <w:r>
              <w:rPr>
                <w:spacing w:val="2"/>
              </w:rPr>
              <w:t>1.远程监管</w:t>
            </w:r>
          </w:p>
        </w:tc>
        <w:tc>
          <w:tcPr>
            <w:tcW w:w="2098" w:type="dxa"/>
            <w:vAlign w:val="top"/>
          </w:tcPr>
          <w:p w14:paraId="7EE59F3A">
            <w:pPr>
              <w:pStyle w:val="6"/>
              <w:spacing w:before="275" w:line="220" w:lineRule="auto"/>
              <w:ind w:left="205"/>
            </w:pPr>
            <w:r>
              <w:rPr>
                <w:spacing w:val="2"/>
              </w:rPr>
              <w:t>全国污染源监测</w:t>
            </w:r>
          </w:p>
          <w:p w14:paraId="7F6490CA">
            <w:pPr>
              <w:pStyle w:val="6"/>
              <w:spacing w:before="133" w:line="219" w:lineRule="auto"/>
              <w:ind w:left="205"/>
            </w:pPr>
            <w:r>
              <w:rPr>
                <w:spacing w:val="1"/>
              </w:rPr>
              <w:t>数据管理与共享</w:t>
            </w:r>
          </w:p>
          <w:p w14:paraId="61632B3F">
            <w:pPr>
              <w:pStyle w:val="6"/>
              <w:spacing w:before="116" w:line="221" w:lineRule="auto"/>
              <w:ind w:left="805"/>
            </w:pPr>
            <w:r>
              <w:rPr>
                <w:spacing w:val="5"/>
              </w:rPr>
              <w:t>系统</w:t>
            </w:r>
          </w:p>
        </w:tc>
        <w:tc>
          <w:tcPr>
            <w:tcW w:w="2472" w:type="dxa"/>
            <w:vAlign w:val="top"/>
          </w:tcPr>
          <w:p w14:paraId="4021F0BD">
            <w:pPr>
              <w:spacing w:line="413" w:lineRule="auto"/>
              <w:rPr>
                <w:rFonts w:ascii="Arial"/>
                <w:sz w:val="21"/>
              </w:rPr>
            </w:pPr>
          </w:p>
          <w:p w14:paraId="2D769B4B">
            <w:pPr>
              <w:pStyle w:val="6"/>
              <w:spacing w:before="78" w:line="287" w:lineRule="auto"/>
              <w:ind w:left="867" w:right="139" w:hanging="719"/>
            </w:pPr>
            <w:r>
              <w:rPr>
                <w:spacing w:val="1"/>
              </w:rPr>
              <w:t>周口市生态环境局项</w:t>
            </w:r>
            <w:r>
              <w:rPr>
                <w:spacing w:val="4"/>
              </w:rPr>
              <w:t xml:space="preserve"> </w:t>
            </w:r>
            <w:r>
              <w:rPr>
                <w:spacing w:val="7"/>
              </w:rPr>
              <w:t>城分局</w:t>
            </w:r>
          </w:p>
        </w:tc>
      </w:tr>
      <w:tr w14:paraId="4E50E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654" w:type="dxa"/>
            <w:vAlign w:val="top"/>
          </w:tcPr>
          <w:p w14:paraId="708CDAE0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119A6D0E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2F7B5C1E">
            <w:pPr>
              <w:rPr>
                <w:rFonts w:ascii="Arial"/>
                <w:sz w:val="21"/>
              </w:rPr>
            </w:pPr>
          </w:p>
        </w:tc>
        <w:tc>
          <w:tcPr>
            <w:tcW w:w="2058" w:type="dxa"/>
            <w:vAlign w:val="top"/>
          </w:tcPr>
          <w:p w14:paraId="50D5A8E7"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Align w:val="top"/>
          </w:tcPr>
          <w:p w14:paraId="5B5438EF">
            <w:pPr>
              <w:rPr>
                <w:rFonts w:ascii="Arial"/>
                <w:sz w:val="21"/>
              </w:rPr>
            </w:pPr>
          </w:p>
        </w:tc>
        <w:tc>
          <w:tcPr>
            <w:tcW w:w="2472" w:type="dxa"/>
            <w:vAlign w:val="top"/>
          </w:tcPr>
          <w:p w14:paraId="6EB0298A">
            <w:pPr>
              <w:rPr>
                <w:rFonts w:ascii="Arial"/>
                <w:sz w:val="21"/>
              </w:rPr>
            </w:pPr>
          </w:p>
        </w:tc>
      </w:tr>
      <w:tr w14:paraId="3A8F45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654" w:type="dxa"/>
            <w:vAlign w:val="top"/>
          </w:tcPr>
          <w:p w14:paraId="0E0203E4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37272AD5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3E636C12">
            <w:pPr>
              <w:rPr>
                <w:rFonts w:ascii="Arial"/>
                <w:sz w:val="21"/>
              </w:rPr>
            </w:pPr>
          </w:p>
        </w:tc>
        <w:tc>
          <w:tcPr>
            <w:tcW w:w="2058" w:type="dxa"/>
            <w:vAlign w:val="top"/>
          </w:tcPr>
          <w:p w14:paraId="30E4F602"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Align w:val="top"/>
          </w:tcPr>
          <w:p w14:paraId="4AFB6500">
            <w:pPr>
              <w:rPr>
                <w:rFonts w:ascii="Arial"/>
                <w:sz w:val="21"/>
              </w:rPr>
            </w:pPr>
          </w:p>
        </w:tc>
        <w:tc>
          <w:tcPr>
            <w:tcW w:w="2472" w:type="dxa"/>
            <w:vAlign w:val="top"/>
          </w:tcPr>
          <w:p w14:paraId="59751268">
            <w:pPr>
              <w:rPr>
                <w:rFonts w:ascii="Arial"/>
                <w:sz w:val="21"/>
              </w:rPr>
            </w:pPr>
          </w:p>
        </w:tc>
      </w:tr>
      <w:tr w14:paraId="187FEC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654" w:type="dxa"/>
            <w:vAlign w:val="top"/>
          </w:tcPr>
          <w:p w14:paraId="3955BD52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00F81107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193C469F">
            <w:pPr>
              <w:rPr>
                <w:rFonts w:ascii="Arial"/>
                <w:sz w:val="21"/>
              </w:rPr>
            </w:pPr>
          </w:p>
        </w:tc>
        <w:tc>
          <w:tcPr>
            <w:tcW w:w="2058" w:type="dxa"/>
            <w:vAlign w:val="top"/>
          </w:tcPr>
          <w:p w14:paraId="4B71C00A"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Align w:val="top"/>
          </w:tcPr>
          <w:p w14:paraId="5A2557B8">
            <w:pPr>
              <w:rPr>
                <w:rFonts w:ascii="Arial"/>
                <w:sz w:val="21"/>
              </w:rPr>
            </w:pPr>
          </w:p>
        </w:tc>
        <w:tc>
          <w:tcPr>
            <w:tcW w:w="2472" w:type="dxa"/>
            <w:vAlign w:val="top"/>
          </w:tcPr>
          <w:p w14:paraId="19489FC5">
            <w:pPr>
              <w:rPr>
                <w:rFonts w:ascii="Arial"/>
                <w:sz w:val="21"/>
              </w:rPr>
            </w:pPr>
          </w:p>
        </w:tc>
      </w:tr>
      <w:tr w14:paraId="01A54A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654" w:type="dxa"/>
            <w:vAlign w:val="top"/>
          </w:tcPr>
          <w:p w14:paraId="0CB4E7B7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40641948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4C8270EB">
            <w:pPr>
              <w:rPr>
                <w:rFonts w:ascii="Arial"/>
                <w:sz w:val="21"/>
              </w:rPr>
            </w:pPr>
          </w:p>
        </w:tc>
        <w:tc>
          <w:tcPr>
            <w:tcW w:w="2058" w:type="dxa"/>
            <w:vAlign w:val="top"/>
          </w:tcPr>
          <w:p w14:paraId="238FA65F"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Align w:val="top"/>
          </w:tcPr>
          <w:p w14:paraId="118E4AE8">
            <w:pPr>
              <w:rPr>
                <w:rFonts w:ascii="Arial"/>
                <w:sz w:val="21"/>
              </w:rPr>
            </w:pPr>
          </w:p>
        </w:tc>
        <w:tc>
          <w:tcPr>
            <w:tcW w:w="2472" w:type="dxa"/>
            <w:vAlign w:val="top"/>
          </w:tcPr>
          <w:p w14:paraId="252D8102">
            <w:pPr>
              <w:rPr>
                <w:rFonts w:ascii="Arial"/>
                <w:sz w:val="21"/>
              </w:rPr>
            </w:pPr>
          </w:p>
        </w:tc>
      </w:tr>
      <w:tr w14:paraId="721729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4" w:hRule="atLeast"/>
        </w:trPr>
        <w:tc>
          <w:tcPr>
            <w:tcW w:w="654" w:type="dxa"/>
            <w:vAlign w:val="top"/>
          </w:tcPr>
          <w:p w14:paraId="528DC6FF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09515B4D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51D154CA">
            <w:pPr>
              <w:rPr>
                <w:rFonts w:ascii="Arial"/>
                <w:sz w:val="21"/>
              </w:rPr>
            </w:pPr>
          </w:p>
        </w:tc>
        <w:tc>
          <w:tcPr>
            <w:tcW w:w="2058" w:type="dxa"/>
            <w:vAlign w:val="top"/>
          </w:tcPr>
          <w:p w14:paraId="0C2D3FD3">
            <w:pPr>
              <w:rPr>
                <w:rFonts w:ascii="Arial"/>
                <w:sz w:val="21"/>
              </w:rPr>
            </w:pPr>
          </w:p>
        </w:tc>
        <w:tc>
          <w:tcPr>
            <w:tcW w:w="2098" w:type="dxa"/>
            <w:vAlign w:val="top"/>
          </w:tcPr>
          <w:p w14:paraId="3E854CF0">
            <w:pPr>
              <w:rPr>
                <w:rFonts w:ascii="Arial"/>
                <w:sz w:val="21"/>
              </w:rPr>
            </w:pPr>
          </w:p>
        </w:tc>
        <w:tc>
          <w:tcPr>
            <w:tcW w:w="2472" w:type="dxa"/>
            <w:vAlign w:val="top"/>
          </w:tcPr>
          <w:p w14:paraId="1AC48E6E">
            <w:pPr>
              <w:rPr>
                <w:rFonts w:ascii="Arial"/>
                <w:sz w:val="21"/>
              </w:rPr>
            </w:pPr>
          </w:p>
        </w:tc>
      </w:tr>
    </w:tbl>
    <w:p w14:paraId="74AB3DAB">
      <w:pPr>
        <w:rPr>
          <w:rFonts w:ascii="Arial"/>
          <w:sz w:val="21"/>
        </w:rPr>
      </w:pPr>
    </w:p>
    <w:sectPr>
      <w:pgSz w:w="12070" w:h="16940"/>
      <w:pgMar w:top="1232" w:right="935" w:bottom="0" w:left="139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EA91A48"/>
    <w:rsid w:val="7FF50D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969</Words>
  <Characters>1008</Characters>
  <TotalTime>287</TotalTime>
  <ScaleCrop>false</ScaleCrop>
  <LinksUpToDate>false</LinksUpToDate>
  <CharactersWithSpaces>1051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2024-12-25T08:46:00Z</dcterms:created>
  <dc:creator>Kingsoft-PDF</dc:creator>
  <cp:lastModifiedBy>大树老师</cp:lastModifiedBy>
  <dcterms:modified xsi:type="dcterms:W3CDTF">2024-12-25T07:08:46Z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2024-12-25T08:46:13Z</vt:filetime>
  </property>
  <property fmtid="{D5CDD505-2E9C-101B-9397-08002B2CF9AE}" pid="4" name="UsrData">
    <vt:lpwstr>676b55d20959d0001fc50f92wl</vt:lpwstr>
  </property>
  <property fmtid="{D5CDD505-2E9C-101B-9397-08002B2CF9AE}" pid="5" name="KSOProductBuildVer">
    <vt:lpwstr>2052-12.1.0.19302</vt:lpwstr>
  </property>
  <property fmtid="{D5CDD505-2E9C-101B-9397-08002B2CF9AE}" pid="6" name="ICV">
    <vt:lpwstr>F43ACC7351514A4E9935C25D3DFD5793_13</vt:lpwstr>
  </property>
</Properties>
</file>