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仿宋_GB2312" w:hAnsi="仿宋_GB2312" w:eastAsia="仿宋_GB2312" w:cs="仿宋_GB2312"/>
          <w:sz w:val="44"/>
          <w:szCs w:val="44"/>
        </w:rPr>
      </w:pPr>
    </w:p>
    <w:p>
      <w:pPr>
        <w:jc w:val="center"/>
        <w:rPr>
          <w:rFonts w:ascii="仿宋_GB2312" w:hAnsi="仿宋_GB2312" w:eastAsia="仿宋_GB2312" w:cs="仿宋_GB2312"/>
          <w:sz w:val="44"/>
          <w:szCs w:val="44"/>
        </w:rPr>
      </w:pPr>
    </w:p>
    <w:p>
      <w:pPr>
        <w:jc w:val="center"/>
        <w:rPr>
          <w:rFonts w:ascii="仿宋_GB2312" w:hAnsi="仿宋_GB2312" w:eastAsia="仿宋_GB2312" w:cs="仿宋_GB2312"/>
          <w:sz w:val="44"/>
          <w:szCs w:val="44"/>
        </w:rPr>
      </w:pPr>
    </w:p>
    <w:p>
      <w:pPr>
        <w:jc w:val="center"/>
        <w:rPr>
          <w:rFonts w:ascii="仿宋_GB2312" w:hAnsi="仿宋_GB2312" w:eastAsia="仿宋_GB2312" w:cs="仿宋_GB2312"/>
          <w:sz w:val="44"/>
          <w:szCs w:val="44"/>
        </w:rPr>
      </w:pPr>
    </w:p>
    <w:p>
      <w:pPr>
        <w:jc w:val="center"/>
        <w:rPr>
          <w:rFonts w:ascii="仿宋_GB2312" w:hAnsi="仿宋_GB2312" w:eastAsia="仿宋_GB2312" w:cs="仿宋_GB2312"/>
          <w:sz w:val="44"/>
          <w:szCs w:val="44"/>
        </w:rPr>
      </w:pPr>
    </w:p>
    <w:p>
      <w:pPr>
        <w:jc w:val="center"/>
        <w:rPr>
          <w:rFonts w:ascii="隶书" w:hAnsi="隶书" w:eastAsia="隶书" w:cs="隶书"/>
          <w:sz w:val="52"/>
          <w:szCs w:val="52"/>
        </w:rPr>
      </w:pPr>
      <w:r>
        <w:rPr>
          <w:rFonts w:hint="eastAsia" w:ascii="隶书" w:hAnsi="隶书" w:eastAsia="隶书" w:cs="隶书"/>
          <w:sz w:val="52"/>
          <w:szCs w:val="52"/>
        </w:rPr>
        <w:t xml:space="preserve">项城市地方史志编纂办公室   </w:t>
      </w:r>
    </w:p>
    <w:p>
      <w:pPr>
        <w:jc w:val="center"/>
        <w:rPr>
          <w:rFonts w:ascii="隶书" w:hAnsi="隶书" w:eastAsia="隶书" w:cs="隶书"/>
          <w:sz w:val="52"/>
          <w:szCs w:val="52"/>
        </w:rPr>
      </w:pPr>
      <w:r>
        <w:rPr>
          <w:rFonts w:ascii="隶书" w:hAnsi="隶书" w:eastAsia="隶书" w:cs="隶书"/>
          <w:sz w:val="52"/>
          <w:szCs w:val="52"/>
        </w:rPr>
        <w:t>201</w:t>
      </w:r>
      <w:r>
        <w:rPr>
          <w:rFonts w:hint="eastAsia" w:ascii="隶书" w:hAnsi="隶书" w:eastAsia="隶书" w:cs="隶书"/>
          <w:sz w:val="52"/>
          <w:szCs w:val="52"/>
        </w:rPr>
        <w:t>7年度部门决算</w:t>
      </w:r>
    </w:p>
    <w:p>
      <w:pPr>
        <w:jc w:val="center"/>
        <w:rPr>
          <w:rFonts w:ascii="隶书" w:hAnsi="隶书" w:eastAsia="隶书" w:cs="隶书"/>
          <w:sz w:val="52"/>
          <w:szCs w:val="52"/>
        </w:rPr>
      </w:pPr>
    </w:p>
    <w:p>
      <w:pPr>
        <w:jc w:val="center"/>
        <w:rPr>
          <w:rFonts w:ascii="隶书" w:hAnsi="隶书" w:eastAsia="隶书" w:cs="隶书"/>
          <w:sz w:val="52"/>
          <w:szCs w:val="52"/>
        </w:rPr>
      </w:pPr>
    </w:p>
    <w:p>
      <w:pPr>
        <w:jc w:val="center"/>
        <w:rPr>
          <w:rFonts w:ascii="隶书" w:hAnsi="隶书" w:eastAsia="隶书" w:cs="隶书"/>
          <w:sz w:val="52"/>
          <w:szCs w:val="52"/>
        </w:rPr>
      </w:pPr>
    </w:p>
    <w:p>
      <w:pPr>
        <w:jc w:val="center"/>
        <w:rPr>
          <w:rFonts w:ascii="隶书" w:hAnsi="隶书" w:eastAsia="隶书" w:cs="隶书"/>
          <w:sz w:val="52"/>
          <w:szCs w:val="52"/>
        </w:rPr>
      </w:pPr>
    </w:p>
    <w:p>
      <w:pPr>
        <w:jc w:val="center"/>
        <w:rPr>
          <w:rFonts w:ascii="隶书" w:hAnsi="隶书" w:eastAsia="隶书" w:cs="隶书"/>
          <w:sz w:val="52"/>
          <w:szCs w:val="52"/>
        </w:rPr>
      </w:pPr>
    </w:p>
    <w:p>
      <w:pPr>
        <w:jc w:val="center"/>
        <w:rPr>
          <w:rFonts w:ascii="隶书" w:hAnsi="隶书" w:eastAsia="隶书" w:cs="隶书"/>
          <w:sz w:val="52"/>
          <w:szCs w:val="52"/>
        </w:rPr>
      </w:pPr>
    </w:p>
    <w:p>
      <w:pPr>
        <w:jc w:val="center"/>
        <w:rPr>
          <w:rFonts w:ascii="隶书" w:hAnsi="隶书" w:eastAsia="隶书" w:cs="隶书"/>
          <w:sz w:val="52"/>
          <w:szCs w:val="52"/>
        </w:rPr>
      </w:pPr>
    </w:p>
    <w:p>
      <w:pPr>
        <w:jc w:val="center"/>
        <w:rPr>
          <w:rFonts w:ascii="隶书" w:hAnsi="隶书" w:eastAsia="隶书" w:cs="隶书"/>
          <w:sz w:val="44"/>
          <w:szCs w:val="44"/>
        </w:rPr>
        <w:sectPr>
          <w:headerReference r:id="rId5" w:type="first"/>
          <w:headerReference r:id="rId3" w:type="default"/>
          <w:headerReference r:id="rId4" w:type="even"/>
          <w:pgSz w:w="11906" w:h="16838"/>
          <w:pgMar w:top="1440" w:right="1361" w:bottom="1440" w:left="1361" w:header="850" w:footer="992" w:gutter="0"/>
          <w:pgNumType w:fmt="numberInDash" w:start="1"/>
          <w:cols w:space="0" w:num="1"/>
          <w:docGrid w:type="lines" w:linePitch="340" w:charSpace="0"/>
        </w:sectPr>
      </w:pPr>
      <w:r>
        <w:rPr>
          <w:rFonts w:hint="eastAsia" w:ascii="隶书" w:hAnsi="隶书" w:eastAsia="隶书" w:cs="隶书"/>
          <w:sz w:val="52"/>
          <w:szCs w:val="52"/>
        </w:rPr>
        <w:t>2</w:t>
      </w:r>
      <w:r>
        <w:rPr>
          <w:rFonts w:ascii="隶书" w:hAnsi="隶书" w:eastAsia="隶书" w:cs="隶书"/>
          <w:sz w:val="52"/>
          <w:szCs w:val="52"/>
        </w:rPr>
        <w:t>018</w:t>
      </w:r>
      <w:r>
        <w:rPr>
          <w:rFonts w:hint="eastAsia" w:ascii="隶书" w:hAnsi="隶书" w:eastAsia="隶书" w:cs="隶书"/>
          <w:sz w:val="52"/>
          <w:szCs w:val="52"/>
        </w:rPr>
        <w:t>年</w:t>
      </w:r>
      <w:r>
        <w:rPr>
          <w:rFonts w:hint="eastAsia" w:ascii="隶书" w:hAnsi="隶书" w:eastAsia="隶书" w:cs="隶书"/>
          <w:sz w:val="52"/>
          <w:szCs w:val="52"/>
          <w:lang w:val="en-US" w:eastAsia="zh-CN"/>
        </w:rPr>
        <w:t>9</w:t>
      </w:r>
      <w:r>
        <w:rPr>
          <w:rFonts w:hint="eastAsia" w:ascii="隶书" w:hAnsi="隶书" w:eastAsia="隶书" w:cs="隶书"/>
          <w:sz w:val="52"/>
          <w:szCs w:val="52"/>
        </w:rPr>
        <w:t>月</w:t>
      </w:r>
    </w:p>
    <w:p>
      <w:pPr>
        <w:jc w:val="center"/>
        <w:rPr>
          <w:rFonts w:ascii="黑体" w:hAnsi="黑体" w:eastAsia="黑体" w:cs="黑体"/>
          <w:sz w:val="36"/>
          <w:szCs w:val="36"/>
        </w:rPr>
      </w:pPr>
      <w:r>
        <w:rPr>
          <w:rFonts w:hint="eastAsia" w:ascii="黑体" w:hAnsi="黑体" w:eastAsia="黑体" w:cs="黑体"/>
          <w:sz w:val="36"/>
          <w:szCs w:val="36"/>
        </w:rPr>
        <w:t>目　　录</w:t>
      </w:r>
    </w:p>
    <w:p>
      <w:pPr>
        <w:jc w:val="left"/>
        <w:rPr>
          <w:rFonts w:ascii="黑体" w:hAnsi="黑体" w:eastAsia="黑体" w:cs="黑体"/>
          <w:sz w:val="32"/>
          <w:szCs w:val="32"/>
        </w:rPr>
      </w:pPr>
      <w:r>
        <w:rPr>
          <w:rFonts w:hint="eastAsia" w:ascii="黑体" w:hAnsi="黑体" w:eastAsia="黑体" w:cs="黑体"/>
          <w:sz w:val="32"/>
          <w:szCs w:val="32"/>
        </w:rPr>
        <w:t>第一部分　　项城市地方史志编纂办公室概况</w:t>
      </w:r>
    </w:p>
    <w:p>
      <w:pPr>
        <w:numPr>
          <w:ilvl w:val="0"/>
          <w:numId w:val="1"/>
        </w:numPr>
        <w:jc w:val="left"/>
        <w:rPr>
          <w:rFonts w:ascii="宋体" w:cs="宋体"/>
          <w:sz w:val="32"/>
          <w:szCs w:val="32"/>
        </w:rPr>
      </w:pPr>
      <w:r>
        <w:rPr>
          <w:rFonts w:hint="eastAsia" w:ascii="宋体" w:hAnsi="宋体" w:cs="宋体"/>
          <w:sz w:val="32"/>
          <w:szCs w:val="32"/>
        </w:rPr>
        <w:t>主要职责</w:t>
      </w:r>
    </w:p>
    <w:p>
      <w:pPr>
        <w:numPr>
          <w:ilvl w:val="0"/>
          <w:numId w:val="1"/>
        </w:numPr>
        <w:jc w:val="left"/>
        <w:rPr>
          <w:rFonts w:ascii="宋体" w:cs="宋体"/>
          <w:sz w:val="32"/>
          <w:szCs w:val="32"/>
        </w:rPr>
      </w:pPr>
      <w:r>
        <w:rPr>
          <w:rFonts w:hint="eastAsia" w:ascii="宋体" w:hAnsi="宋体" w:cs="宋体"/>
          <w:sz w:val="32"/>
          <w:szCs w:val="32"/>
        </w:rPr>
        <w:t>部门决算单位构成</w:t>
      </w:r>
    </w:p>
    <w:p>
      <w:pPr>
        <w:jc w:val="left"/>
        <w:rPr>
          <w:rFonts w:ascii="黑体" w:hAnsi="黑体" w:eastAsia="黑体" w:cs="黑体"/>
          <w:sz w:val="32"/>
          <w:szCs w:val="32"/>
        </w:rPr>
      </w:pPr>
      <w:r>
        <w:rPr>
          <w:rFonts w:hint="eastAsia" w:ascii="黑体" w:hAnsi="黑体" w:eastAsia="黑体" w:cs="黑体"/>
          <w:sz w:val="32"/>
          <w:szCs w:val="32"/>
        </w:rPr>
        <w:t>第二部分　　项城市地方史志编纂办公室</w:t>
      </w:r>
      <w:r>
        <w:rPr>
          <w:rFonts w:ascii="黑体" w:hAnsi="黑体" w:eastAsia="黑体" w:cs="黑体"/>
          <w:sz w:val="32"/>
          <w:szCs w:val="32"/>
        </w:rPr>
        <w:t>201</w:t>
      </w:r>
      <w:r>
        <w:rPr>
          <w:rFonts w:hint="eastAsia" w:ascii="黑体" w:hAnsi="黑体" w:eastAsia="黑体" w:cs="黑体"/>
          <w:sz w:val="32"/>
          <w:szCs w:val="32"/>
        </w:rPr>
        <w:t>7年度部门决算表</w:t>
      </w:r>
    </w:p>
    <w:p>
      <w:pPr>
        <w:jc w:val="left"/>
        <w:rPr>
          <w:rFonts w:ascii="宋体" w:cs="宋体"/>
          <w:sz w:val="32"/>
          <w:szCs w:val="32"/>
        </w:rPr>
      </w:pPr>
      <w:r>
        <w:rPr>
          <w:rFonts w:hint="eastAsia" w:ascii="宋体" w:hAnsi="宋体" w:cs="宋体"/>
          <w:sz w:val="32"/>
          <w:szCs w:val="32"/>
        </w:rPr>
        <w:t>一、收入支出决算总表</w:t>
      </w:r>
    </w:p>
    <w:p>
      <w:pPr>
        <w:jc w:val="left"/>
        <w:rPr>
          <w:rFonts w:ascii="宋体" w:cs="宋体"/>
          <w:sz w:val="32"/>
          <w:szCs w:val="32"/>
        </w:rPr>
      </w:pPr>
      <w:r>
        <w:rPr>
          <w:rFonts w:hint="eastAsia" w:ascii="宋体" w:hAnsi="宋体" w:cs="宋体"/>
          <w:sz w:val="32"/>
          <w:szCs w:val="32"/>
        </w:rPr>
        <w:t>二、收入决算表</w:t>
      </w:r>
    </w:p>
    <w:p>
      <w:pPr>
        <w:jc w:val="left"/>
        <w:rPr>
          <w:rFonts w:ascii="宋体" w:cs="宋体"/>
          <w:sz w:val="32"/>
          <w:szCs w:val="32"/>
        </w:rPr>
      </w:pPr>
      <w:r>
        <w:rPr>
          <w:rFonts w:hint="eastAsia" w:ascii="宋体" w:hAnsi="宋体" w:cs="宋体"/>
          <w:sz w:val="32"/>
          <w:szCs w:val="32"/>
        </w:rPr>
        <w:t>三、支出决算表</w:t>
      </w:r>
    </w:p>
    <w:p>
      <w:pPr>
        <w:jc w:val="left"/>
        <w:rPr>
          <w:rFonts w:ascii="宋体" w:cs="宋体"/>
          <w:sz w:val="32"/>
          <w:szCs w:val="32"/>
        </w:rPr>
      </w:pPr>
      <w:r>
        <w:rPr>
          <w:rFonts w:hint="eastAsia" w:ascii="宋体" w:hAnsi="宋体" w:cs="宋体"/>
          <w:sz w:val="32"/>
          <w:szCs w:val="32"/>
        </w:rPr>
        <w:t>四、财政拨款收入支出决算总表</w:t>
      </w:r>
    </w:p>
    <w:p>
      <w:pPr>
        <w:jc w:val="left"/>
        <w:rPr>
          <w:rFonts w:ascii="宋体" w:cs="宋体"/>
          <w:sz w:val="32"/>
          <w:szCs w:val="32"/>
        </w:rPr>
      </w:pPr>
      <w:r>
        <w:rPr>
          <w:rFonts w:hint="eastAsia" w:ascii="宋体" w:hAnsi="宋体" w:cs="宋体"/>
          <w:sz w:val="32"/>
          <w:szCs w:val="32"/>
        </w:rPr>
        <w:t>五、一般公共预算财政拨款支出决算表</w:t>
      </w:r>
    </w:p>
    <w:p>
      <w:pPr>
        <w:jc w:val="left"/>
        <w:rPr>
          <w:rFonts w:ascii="宋体" w:cs="宋体"/>
          <w:sz w:val="32"/>
          <w:szCs w:val="32"/>
        </w:rPr>
      </w:pPr>
      <w:r>
        <w:rPr>
          <w:rFonts w:hint="eastAsia" w:ascii="宋体" w:hAnsi="宋体" w:cs="宋体"/>
          <w:sz w:val="32"/>
          <w:szCs w:val="32"/>
        </w:rPr>
        <w:t>六、一般公共预算财政拨款基本支出决算表</w:t>
      </w:r>
    </w:p>
    <w:p>
      <w:pPr>
        <w:jc w:val="left"/>
        <w:rPr>
          <w:rFonts w:ascii="宋体" w:cs="宋体"/>
          <w:sz w:val="32"/>
          <w:szCs w:val="32"/>
        </w:rPr>
      </w:pPr>
      <w:r>
        <w:rPr>
          <w:rFonts w:hint="eastAsia" w:ascii="宋体" w:hAnsi="宋体" w:cs="宋体"/>
          <w:sz w:val="32"/>
          <w:szCs w:val="32"/>
        </w:rPr>
        <w:t>七、一般公共预算财政拨款“三公”经费支出决算表</w:t>
      </w:r>
    </w:p>
    <w:p>
      <w:pPr>
        <w:jc w:val="left"/>
        <w:rPr>
          <w:rFonts w:ascii="宋体" w:cs="宋体"/>
          <w:sz w:val="32"/>
          <w:szCs w:val="32"/>
        </w:rPr>
      </w:pPr>
      <w:r>
        <w:rPr>
          <w:rFonts w:hint="eastAsia" w:ascii="宋体" w:hAnsi="宋体" w:cs="宋体"/>
          <w:sz w:val="32"/>
          <w:szCs w:val="32"/>
        </w:rPr>
        <w:t>八、政府性基金预算财政拨款收入支出决算表</w:t>
      </w:r>
    </w:p>
    <w:p>
      <w:pPr>
        <w:ind w:left="1920" w:hanging="1920" w:hangingChars="600"/>
        <w:jc w:val="left"/>
        <w:rPr>
          <w:rFonts w:ascii="黑体" w:hAnsi="黑体" w:eastAsia="黑体" w:cs="黑体"/>
          <w:sz w:val="32"/>
          <w:szCs w:val="32"/>
        </w:rPr>
      </w:pPr>
      <w:r>
        <w:rPr>
          <w:rFonts w:hint="eastAsia" w:ascii="黑体" w:hAnsi="黑体" w:eastAsia="黑体" w:cs="黑体"/>
          <w:sz w:val="32"/>
          <w:szCs w:val="32"/>
        </w:rPr>
        <w:t>第三部分　　项城市地方史志编纂办公室</w:t>
      </w:r>
      <w:r>
        <w:rPr>
          <w:rFonts w:ascii="黑体" w:hAnsi="黑体" w:eastAsia="黑体" w:cs="黑体"/>
          <w:sz w:val="32"/>
          <w:szCs w:val="32"/>
        </w:rPr>
        <w:t>201</w:t>
      </w:r>
      <w:r>
        <w:rPr>
          <w:rFonts w:hint="eastAsia" w:ascii="黑体" w:hAnsi="黑体" w:eastAsia="黑体" w:cs="黑体"/>
          <w:sz w:val="32"/>
          <w:szCs w:val="32"/>
        </w:rPr>
        <w:t>7年度部门决算情况说明</w:t>
      </w:r>
    </w:p>
    <w:p>
      <w:pPr>
        <w:jc w:val="left"/>
        <w:rPr>
          <w:rFonts w:ascii="黑体" w:hAnsi="黑体" w:eastAsia="黑体" w:cs="黑体"/>
          <w:sz w:val="32"/>
          <w:szCs w:val="32"/>
        </w:rPr>
        <w:sectPr>
          <w:footerReference r:id="rId6" w:type="default"/>
          <w:pgSz w:w="11906" w:h="16838"/>
          <w:pgMar w:top="1440" w:right="1361" w:bottom="1440" w:left="1361" w:header="850" w:footer="992" w:gutter="0"/>
          <w:pgNumType w:fmt="numberInDash"/>
          <w:cols w:space="0" w:num="1"/>
          <w:docGrid w:type="lines" w:linePitch="340" w:charSpace="0"/>
        </w:sectPr>
      </w:pPr>
      <w:r>
        <w:rPr>
          <w:rFonts w:hint="eastAsia" w:ascii="黑体" w:hAnsi="黑体" w:eastAsia="黑体" w:cs="黑体"/>
          <w:sz w:val="32"/>
          <w:szCs w:val="32"/>
        </w:rPr>
        <w:t>第四部分　　名词解释</w:t>
      </w:r>
    </w:p>
    <w:p>
      <w:pPr>
        <w:jc w:val="left"/>
        <w:rPr>
          <w:rFonts w:ascii="黑体" w:hAnsi="黑体" w:eastAsia="黑体" w:cs="黑体"/>
          <w:sz w:val="32"/>
          <w:szCs w:val="32"/>
        </w:rPr>
      </w:pPr>
    </w:p>
    <w:p>
      <w:pPr>
        <w:numPr>
          <w:ilvl w:val="0"/>
          <w:numId w:val="2"/>
        </w:numPr>
        <w:jc w:val="center"/>
        <w:outlineLvl w:val="0"/>
        <w:rPr>
          <w:rFonts w:ascii="隶书" w:hAnsi="隶书" w:eastAsia="隶书" w:cs="隶书"/>
          <w:sz w:val="48"/>
          <w:szCs w:val="48"/>
        </w:rPr>
      </w:pPr>
      <w:r>
        <w:rPr>
          <w:rFonts w:ascii="隶书" w:hAnsi="隶书" w:eastAsia="隶书" w:cs="隶书"/>
          <w:sz w:val="48"/>
          <w:szCs w:val="48"/>
        </w:rPr>
        <w:t xml:space="preserve">  </w:t>
      </w:r>
      <w:r>
        <w:rPr>
          <w:rFonts w:hint="eastAsia" w:ascii="隶书" w:hAnsi="隶书" w:eastAsia="隶书" w:cs="隶书"/>
          <w:sz w:val="48"/>
          <w:szCs w:val="48"/>
        </w:rPr>
        <w:t>项城市地方史志编纂办公室概况</w:t>
      </w:r>
    </w:p>
    <w:p>
      <w:pPr>
        <w:jc w:val="center"/>
        <w:outlineLvl w:val="0"/>
        <w:rPr>
          <w:rFonts w:ascii="隶书" w:hAnsi="隶书" w:eastAsia="隶书" w:cs="隶书"/>
          <w:sz w:val="48"/>
          <w:szCs w:val="48"/>
        </w:rPr>
      </w:pPr>
    </w:p>
    <w:p>
      <w:pPr>
        <w:numPr>
          <w:ilvl w:val="0"/>
          <w:numId w:val="3"/>
        </w:numPr>
        <w:spacing w:line="360" w:lineRule="auto"/>
        <w:ind w:firstLine="640" w:firstLineChars="200"/>
        <w:jc w:val="left"/>
        <w:outlineLvl w:val="1"/>
        <w:rPr>
          <w:rFonts w:ascii="黑体" w:hAnsi="黑体" w:eastAsia="黑体" w:cs="黑体"/>
          <w:sz w:val="32"/>
          <w:szCs w:val="32"/>
        </w:rPr>
      </w:pPr>
      <w:r>
        <w:rPr>
          <w:rFonts w:hint="eastAsia" w:ascii="黑体" w:hAnsi="黑体" w:eastAsia="黑体" w:cs="黑体"/>
          <w:sz w:val="32"/>
          <w:szCs w:val="32"/>
        </w:rPr>
        <w:t>主要职责</w:t>
      </w:r>
    </w:p>
    <w:p>
      <w:pPr>
        <w:autoSpaceDE w:val="0"/>
        <w:autoSpaceDN w:val="0"/>
        <w:snapToGrid w:val="0"/>
        <w:spacing w:line="360" w:lineRule="auto"/>
        <w:ind w:firstLine="664" w:firstLineChars="200"/>
        <w:rPr>
          <w:rFonts w:ascii="仿宋_GB2312" w:hAnsi="仿宋_GB2312" w:eastAsia="仿宋_GB2312" w:cs="仿宋_GB2312"/>
          <w:color w:val="000000"/>
          <w:spacing w:val="6"/>
          <w:kern w:val="0"/>
          <w:sz w:val="32"/>
          <w:szCs w:val="32"/>
        </w:rPr>
      </w:pPr>
      <w:r>
        <w:rPr>
          <w:rFonts w:hint="eastAsia" w:ascii="仿宋_GB2312" w:hAnsi="仿宋_GB2312" w:eastAsia="仿宋_GB2312" w:cs="仿宋_GB2312"/>
          <w:color w:val="000000"/>
          <w:spacing w:val="6"/>
          <w:kern w:val="0"/>
          <w:sz w:val="32"/>
          <w:szCs w:val="32"/>
        </w:rPr>
        <w:t>市地方史志编纂办公室是市政府直属正科级事业单位主要职责：（一）负责拟定全市地方志工作规划、规范标准及管理办法并组织实施。（二）负责市级史志及市情资料性书籍的编纂、出版发行及旧志整理研究工作。（三）对市直各部门、基层地方史志工作进行业务指导；审定部门志稿，推动地方志理论研究。（四）负责市情资料的收藏、整理和开发利用，进行地域情况的研究和咨询服务。（五）承办市政府交办的其他事项。</w:t>
      </w:r>
    </w:p>
    <w:p>
      <w:pPr>
        <w:spacing w:line="360" w:lineRule="auto"/>
        <w:ind w:firstLine="800" w:firstLineChars="250"/>
        <w:jc w:val="left"/>
        <w:rPr>
          <w:rFonts w:ascii="楷体_GB2312" w:hAnsi="楷体_GB2312" w:eastAsia="楷体_GB2312" w:cs="楷体_GB2312"/>
          <w:sz w:val="32"/>
          <w:szCs w:val="32"/>
        </w:rPr>
      </w:pPr>
    </w:p>
    <w:p>
      <w:pPr>
        <w:numPr>
          <w:ilvl w:val="0"/>
          <w:numId w:val="4"/>
        </w:numPr>
        <w:spacing w:line="360" w:lineRule="auto"/>
        <w:ind w:firstLine="640" w:firstLineChars="200"/>
        <w:jc w:val="left"/>
        <w:outlineLvl w:val="1"/>
        <w:rPr>
          <w:rFonts w:ascii="黑体" w:hAnsi="黑体" w:eastAsia="黑体" w:cs="黑体"/>
          <w:sz w:val="32"/>
          <w:szCs w:val="32"/>
        </w:rPr>
      </w:pPr>
      <w:r>
        <w:rPr>
          <w:rFonts w:hint="eastAsia" w:ascii="黑体" w:hAnsi="黑体" w:eastAsia="黑体" w:cs="黑体"/>
          <w:sz w:val="32"/>
          <w:szCs w:val="32"/>
        </w:rPr>
        <w:t>部门决算单位构成</w:t>
      </w:r>
    </w:p>
    <w:p>
      <w:pPr>
        <w:widowControl/>
        <w:shd w:val="clear" w:color="auto" w:fill="FFFFFF"/>
        <w:spacing w:line="450" w:lineRule="atLeast"/>
        <w:ind w:firstLine="640"/>
        <w:jc w:val="left"/>
        <w:rPr>
          <w:rFonts w:hint="eastAsia" w:ascii="楷体_GB2312" w:hAnsi="楷体_GB2312" w:eastAsia="仿宋_GB2312" w:cs="楷体_GB2312"/>
          <w:sz w:val="32"/>
          <w:szCs w:val="32"/>
          <w:lang w:val="en-US" w:eastAsia="zh-CN"/>
        </w:rPr>
        <w:sectPr>
          <w:pgSz w:w="11906" w:h="16838"/>
          <w:pgMar w:top="1440" w:right="1361" w:bottom="1440" w:left="1361" w:header="850" w:footer="992" w:gutter="0"/>
          <w:pgNumType w:fmt="numberInDash"/>
          <w:cols w:space="0" w:num="1"/>
          <w:docGrid w:type="lines" w:linePitch="340" w:charSpace="0"/>
        </w:sectPr>
      </w:pPr>
      <w:r>
        <w:rPr>
          <w:rFonts w:hint="eastAsia" w:ascii="仿宋_GB2312" w:hAnsi="宋体" w:eastAsia="仿宋_GB2312" w:cs="宋体"/>
          <w:color w:val="000000"/>
          <w:kern w:val="0"/>
          <w:sz w:val="32"/>
          <w:szCs w:val="32"/>
        </w:rPr>
        <w:t>项城市志办部门预算涵盖的预算单位为本单位</w:t>
      </w:r>
      <w:r>
        <w:rPr>
          <w:rFonts w:ascii="仿宋_GB2312" w:hAnsi="宋体" w:eastAsia="仿宋_GB2312" w:cs="宋体"/>
          <w:color w:val="000000"/>
          <w:kern w:val="0"/>
          <w:sz w:val="32"/>
          <w:szCs w:val="32"/>
        </w:rPr>
        <w:t>1</w:t>
      </w:r>
      <w:r>
        <w:rPr>
          <w:rFonts w:hint="eastAsia" w:ascii="仿宋_GB2312" w:hAnsi="宋体" w:eastAsia="仿宋_GB2312" w:cs="宋体"/>
          <w:color w:val="000000"/>
          <w:kern w:val="0"/>
          <w:sz w:val="32"/>
          <w:szCs w:val="32"/>
        </w:rPr>
        <w:t>个单位</w:t>
      </w:r>
      <w:r>
        <w:rPr>
          <w:rFonts w:hint="eastAsia" w:ascii="仿宋_GB2312" w:hAnsi="宋体" w:eastAsia="仿宋_GB2312" w:cs="宋体"/>
          <w:color w:val="000000"/>
          <w:kern w:val="0"/>
          <w:sz w:val="32"/>
          <w:szCs w:val="32"/>
          <w:lang w:val="en-US" w:eastAsia="zh-CN"/>
        </w:rPr>
        <w:t>,本单位没有二级机构。</w:t>
      </w: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left"/>
        <w:rPr>
          <w:rFonts w:ascii="黑体" w:hAnsi="黑体" w:eastAsia="黑体" w:cs="黑体"/>
          <w:sz w:val="32"/>
          <w:szCs w:val="32"/>
        </w:rPr>
      </w:pPr>
    </w:p>
    <w:p>
      <w:pPr>
        <w:jc w:val="center"/>
        <w:outlineLvl w:val="0"/>
        <w:rPr>
          <w:rFonts w:ascii="隶书" w:hAnsi="隶书" w:eastAsia="隶书" w:cs="隶书"/>
          <w:sz w:val="48"/>
          <w:szCs w:val="48"/>
        </w:rPr>
      </w:pPr>
      <w:r>
        <w:rPr>
          <w:rFonts w:hint="eastAsia" w:ascii="隶书" w:hAnsi="隶书" w:eastAsia="隶书" w:cs="隶书"/>
          <w:sz w:val="48"/>
          <w:szCs w:val="48"/>
        </w:rPr>
        <w:t>第二部分</w:t>
      </w:r>
    </w:p>
    <w:p>
      <w:pPr>
        <w:jc w:val="center"/>
        <w:rPr>
          <w:rFonts w:ascii="隶书" w:hAnsi="隶书" w:eastAsia="隶书" w:cs="隶书"/>
          <w:sz w:val="48"/>
          <w:szCs w:val="48"/>
        </w:rPr>
      </w:pPr>
      <w:r>
        <w:rPr>
          <w:rFonts w:hint="eastAsia" w:ascii="隶书" w:hAnsi="隶书" w:eastAsia="隶书" w:cs="隶书"/>
          <w:sz w:val="48"/>
          <w:szCs w:val="48"/>
        </w:rPr>
        <w:t>项城市地方史志编纂办公室</w:t>
      </w:r>
      <w:r>
        <w:rPr>
          <w:rFonts w:ascii="隶书" w:hAnsi="隶书" w:eastAsia="隶书" w:cs="隶书"/>
          <w:sz w:val="48"/>
          <w:szCs w:val="48"/>
        </w:rPr>
        <w:t>201</w:t>
      </w:r>
      <w:r>
        <w:rPr>
          <w:rFonts w:hint="eastAsia" w:ascii="隶书" w:hAnsi="隶书" w:eastAsia="隶书" w:cs="隶书"/>
          <w:sz w:val="48"/>
          <w:szCs w:val="48"/>
        </w:rPr>
        <w:t>7年度部门决算表</w:t>
      </w:r>
    </w:p>
    <w:p>
      <w:pPr>
        <w:jc w:val="center"/>
        <w:rPr>
          <w:rFonts w:ascii="隶书" w:hAnsi="隶书" w:eastAsia="隶书" w:cs="隶书"/>
          <w:sz w:val="48"/>
          <w:szCs w:val="48"/>
        </w:rPr>
      </w:pPr>
    </w:p>
    <w:p>
      <w:pPr>
        <w:jc w:val="center"/>
        <w:rPr>
          <w:rFonts w:ascii="隶书" w:hAnsi="隶书" w:eastAsia="隶书" w:cs="隶书"/>
          <w:sz w:val="48"/>
          <w:szCs w:val="48"/>
        </w:rPr>
      </w:pPr>
    </w:p>
    <w:p>
      <w:pPr>
        <w:jc w:val="left"/>
        <w:rPr>
          <w:rFonts w:ascii="黑体" w:hAnsi="黑体" w:eastAsia="黑体" w:cs="黑体"/>
          <w:sz w:val="32"/>
          <w:szCs w:val="32"/>
        </w:rPr>
      </w:pPr>
    </w:p>
    <w:p>
      <w:pPr>
        <w:jc w:val="left"/>
        <w:rPr>
          <w:rFonts w:ascii="黑体" w:hAnsi="黑体" w:eastAsia="黑体" w:cs="黑体"/>
          <w:sz w:val="32"/>
          <w:szCs w:val="32"/>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sectPr>
          <w:footerReference r:id="rId7" w:type="default"/>
          <w:pgSz w:w="11906" w:h="16838"/>
          <w:pgMar w:top="1440" w:right="1361" w:bottom="1440" w:left="1361" w:header="850" w:footer="992" w:gutter="0"/>
          <w:pgNumType w:fmt="numberInDash"/>
          <w:cols w:space="0" w:num="1"/>
          <w:docGrid w:type="lines" w:linePitch="340" w:charSpace="0"/>
        </w:sectPr>
      </w:pPr>
    </w:p>
    <w:tbl>
      <w:tblPr>
        <w:tblStyle w:val="5"/>
        <w:tblW w:w="13820" w:type="dxa"/>
        <w:tblInd w:w="108" w:type="dxa"/>
        <w:tblLayout w:type="fixed"/>
        <w:tblCellMar>
          <w:top w:w="0" w:type="dxa"/>
          <w:left w:w="108" w:type="dxa"/>
          <w:bottom w:w="0" w:type="dxa"/>
          <w:right w:w="108" w:type="dxa"/>
        </w:tblCellMar>
      </w:tblPr>
      <w:tblGrid>
        <w:gridCol w:w="4420"/>
        <w:gridCol w:w="600"/>
        <w:gridCol w:w="2120"/>
        <w:gridCol w:w="3720"/>
        <w:gridCol w:w="600"/>
        <w:gridCol w:w="2360"/>
      </w:tblGrid>
      <w:tr>
        <w:tblPrEx>
          <w:tblLayout w:type="fixed"/>
          <w:tblCellMar>
            <w:top w:w="0" w:type="dxa"/>
            <w:left w:w="108" w:type="dxa"/>
            <w:bottom w:w="0" w:type="dxa"/>
            <w:right w:w="108" w:type="dxa"/>
          </w:tblCellMar>
        </w:tblPrEx>
        <w:trPr>
          <w:trHeight w:val="400" w:hRule="atLeast"/>
        </w:trPr>
        <w:tc>
          <w:tcPr>
            <w:tcW w:w="13820" w:type="dxa"/>
            <w:gridSpan w:val="6"/>
            <w:tcBorders>
              <w:top w:val="nil"/>
              <w:left w:val="nil"/>
              <w:bottom w:val="nil"/>
              <w:right w:val="nil"/>
            </w:tcBorders>
            <w:shd w:val="clear" w:color="auto" w:fill="auto"/>
            <w:vAlign w:val="bottom"/>
          </w:tcPr>
          <w:p>
            <w:pPr>
              <w:widowControl/>
              <w:jc w:val="center"/>
              <w:rPr>
                <w:rFonts w:ascii="Times New Roman" w:hAnsi="Times New Roman" w:eastAsia="Times New Roman"/>
                <w:kern w:val="0"/>
                <w:sz w:val="20"/>
                <w:szCs w:val="20"/>
              </w:rPr>
            </w:pPr>
            <w:r>
              <w:rPr>
                <w:rFonts w:hint="eastAsia" w:ascii="宋体" w:hAnsi="宋体" w:cs="Arial"/>
                <w:color w:val="000000"/>
                <w:kern w:val="0"/>
                <w:sz w:val="30"/>
                <w:szCs w:val="30"/>
              </w:rPr>
              <w:t>收入支出决表</w:t>
            </w:r>
          </w:p>
        </w:tc>
      </w:tr>
      <w:tr>
        <w:tblPrEx>
          <w:tblLayout w:type="fixed"/>
          <w:tblCellMar>
            <w:top w:w="0" w:type="dxa"/>
            <w:left w:w="108" w:type="dxa"/>
            <w:bottom w:w="0" w:type="dxa"/>
            <w:right w:w="108" w:type="dxa"/>
          </w:tblCellMar>
        </w:tblPrEx>
        <w:trPr>
          <w:trHeight w:val="260" w:hRule="atLeast"/>
        </w:trPr>
        <w:tc>
          <w:tcPr>
            <w:tcW w:w="442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60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212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372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60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2360" w:type="dxa"/>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公开01表</w:t>
            </w:r>
          </w:p>
        </w:tc>
      </w:tr>
      <w:tr>
        <w:tblPrEx>
          <w:tblLayout w:type="fixed"/>
          <w:tblCellMar>
            <w:top w:w="0" w:type="dxa"/>
            <w:left w:w="108" w:type="dxa"/>
            <w:bottom w:w="0" w:type="dxa"/>
            <w:right w:w="108" w:type="dxa"/>
          </w:tblCellMar>
        </w:tblPrEx>
        <w:trPr>
          <w:trHeight w:val="260" w:hRule="atLeast"/>
        </w:trPr>
        <w:tc>
          <w:tcPr>
            <w:tcW w:w="4420" w:type="dxa"/>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部门：河南省周口市项城市地方史志编纂办公室</w:t>
            </w:r>
          </w:p>
        </w:tc>
        <w:tc>
          <w:tcPr>
            <w:tcW w:w="600" w:type="dxa"/>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p>
        </w:tc>
        <w:tc>
          <w:tcPr>
            <w:tcW w:w="212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372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60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2360" w:type="dxa"/>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金额单位：元</w:t>
            </w:r>
          </w:p>
        </w:tc>
      </w:tr>
      <w:tr>
        <w:tblPrEx>
          <w:tblLayout w:type="fixed"/>
          <w:tblCellMar>
            <w:top w:w="0" w:type="dxa"/>
            <w:left w:w="108" w:type="dxa"/>
            <w:bottom w:w="0" w:type="dxa"/>
            <w:right w:w="108" w:type="dxa"/>
          </w:tblCellMar>
        </w:tblPrEx>
        <w:trPr>
          <w:trHeight w:val="260" w:hRule="atLeast"/>
        </w:trPr>
        <w:tc>
          <w:tcPr>
            <w:tcW w:w="7140" w:type="dxa"/>
            <w:gridSpan w:val="3"/>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收入</w:t>
            </w:r>
          </w:p>
        </w:tc>
        <w:tc>
          <w:tcPr>
            <w:tcW w:w="6680" w:type="dxa"/>
            <w:gridSpan w:val="3"/>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支出</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项目</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行次</w:t>
            </w:r>
          </w:p>
        </w:tc>
        <w:tc>
          <w:tcPr>
            <w:tcW w:w="212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金额</w:t>
            </w:r>
          </w:p>
        </w:tc>
        <w:tc>
          <w:tcPr>
            <w:tcW w:w="372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项目</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行次</w:t>
            </w:r>
          </w:p>
        </w:tc>
        <w:tc>
          <w:tcPr>
            <w:tcW w:w="236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金额</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栏次</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　</w:t>
            </w:r>
          </w:p>
        </w:tc>
        <w:tc>
          <w:tcPr>
            <w:tcW w:w="212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w:t>
            </w:r>
          </w:p>
        </w:tc>
        <w:tc>
          <w:tcPr>
            <w:tcW w:w="372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栏次</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　</w:t>
            </w:r>
          </w:p>
        </w:tc>
        <w:tc>
          <w:tcPr>
            <w:tcW w:w="236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一、财政拨款收入</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1,924,220.00</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一、一般公共服务支出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28</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1,695,620.00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二、上级补助收入</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二、外交支出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29</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三、事业收入</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三、国防支出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30</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四、经营收入</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四、公共安全支出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31</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五、附属单位上缴收入</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五、教育支出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32</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六、其他收入</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6</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六、科学技术支出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33</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7</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七、文化体育与传媒支出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34</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8</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八、社会保障和就业支出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35</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114,200.00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9</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九、医疗卫生与计划生育支出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36</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59,800.00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10</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十、节能环保支出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37</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11</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十一、城乡社区支出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38</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12</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十二、农林水支出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39</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13</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十三、交通运输支出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40</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14</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十四、资源勘探信息等支出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41</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15</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十五、商业服务业等支出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42</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16</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十六、金融支出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43</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17</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十七、援助其他地区支出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44</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18</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十八、国土海洋气象等支出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45</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19</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十九、住房保障支出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46</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54,600.00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20</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二十、粮油物资储备支出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47</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21</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二十一、其他支出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48</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22</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49</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本年收入合计</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23</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1,924,220.00</w:t>
            </w:r>
          </w:p>
        </w:tc>
        <w:tc>
          <w:tcPr>
            <w:tcW w:w="372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本年支出合计</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50</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1,924,220.00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用事业基金弥补收支差额</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24</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结余分配</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51</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年初结转和结余</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25</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年末结转和结余</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52</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26</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72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53</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260" w:hRule="atLeast"/>
        </w:trPr>
        <w:tc>
          <w:tcPr>
            <w:tcW w:w="4420" w:type="dxa"/>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总计</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27</w:t>
            </w:r>
          </w:p>
        </w:tc>
        <w:tc>
          <w:tcPr>
            <w:tcW w:w="21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1,924,220.00</w:t>
            </w:r>
          </w:p>
        </w:tc>
        <w:tc>
          <w:tcPr>
            <w:tcW w:w="372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总计</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54</w:t>
            </w:r>
          </w:p>
        </w:tc>
        <w:tc>
          <w:tcPr>
            <w:tcW w:w="23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1,924,220.00</w:t>
            </w:r>
          </w:p>
        </w:tc>
      </w:tr>
      <w:tr>
        <w:tblPrEx>
          <w:tblLayout w:type="fixed"/>
          <w:tblCellMar>
            <w:top w:w="0" w:type="dxa"/>
            <w:left w:w="108" w:type="dxa"/>
            <w:bottom w:w="0" w:type="dxa"/>
            <w:right w:w="108" w:type="dxa"/>
          </w:tblCellMar>
        </w:tblPrEx>
        <w:trPr>
          <w:trHeight w:val="260" w:hRule="atLeast"/>
        </w:trPr>
        <w:tc>
          <w:tcPr>
            <w:tcW w:w="13820" w:type="dxa"/>
            <w:gridSpan w:val="6"/>
            <w:tcBorders>
              <w:top w:val="nil"/>
              <w:left w:val="nil"/>
              <w:bottom w:val="nil"/>
              <w:right w:val="nil"/>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注：本表反映部门本年度的总收支和年末结转结余情况。</w:t>
            </w:r>
          </w:p>
        </w:tc>
      </w:tr>
    </w:tbl>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tbl>
      <w:tblPr>
        <w:tblStyle w:val="5"/>
        <w:tblW w:w="14930" w:type="dxa"/>
        <w:tblInd w:w="108" w:type="dxa"/>
        <w:tblLayout w:type="fixed"/>
        <w:tblCellMar>
          <w:top w:w="0" w:type="dxa"/>
          <w:left w:w="108" w:type="dxa"/>
          <w:bottom w:w="0" w:type="dxa"/>
          <w:right w:w="108" w:type="dxa"/>
        </w:tblCellMar>
      </w:tblPr>
      <w:tblGrid>
        <w:gridCol w:w="360"/>
        <w:gridCol w:w="360"/>
        <w:gridCol w:w="360"/>
        <w:gridCol w:w="4430"/>
        <w:gridCol w:w="1900"/>
        <w:gridCol w:w="1900"/>
        <w:gridCol w:w="1060"/>
        <w:gridCol w:w="840"/>
        <w:gridCol w:w="160"/>
        <w:gridCol w:w="100"/>
        <w:gridCol w:w="920"/>
        <w:gridCol w:w="400"/>
        <w:gridCol w:w="700"/>
        <w:gridCol w:w="140"/>
        <w:gridCol w:w="1180"/>
        <w:gridCol w:w="120"/>
      </w:tblGrid>
      <w:tr>
        <w:tblPrEx>
          <w:tblLayout w:type="fixed"/>
          <w:tblCellMar>
            <w:top w:w="0" w:type="dxa"/>
            <w:left w:w="108" w:type="dxa"/>
            <w:bottom w:w="0" w:type="dxa"/>
            <w:right w:w="108" w:type="dxa"/>
          </w:tblCellMar>
        </w:tblPrEx>
        <w:trPr>
          <w:gridAfter w:val="4"/>
          <w:wAfter w:w="2140" w:type="dxa"/>
          <w:trHeight w:val="370" w:hRule="atLeast"/>
        </w:trPr>
        <w:tc>
          <w:tcPr>
            <w:tcW w:w="360" w:type="dxa"/>
            <w:tcBorders>
              <w:top w:val="nil"/>
              <w:left w:val="nil"/>
              <w:bottom w:val="nil"/>
              <w:right w:val="nil"/>
            </w:tcBorders>
            <w:shd w:val="clear" w:color="auto" w:fill="auto"/>
            <w:vAlign w:val="bottom"/>
          </w:tcPr>
          <w:p>
            <w:pPr>
              <w:widowControl/>
              <w:jc w:val="left"/>
              <w:rPr>
                <w:rFonts w:ascii="Times New Roman" w:hAnsi="Times New Roman" w:cs="宋体"/>
                <w:kern w:val="0"/>
                <w:sz w:val="20"/>
                <w:szCs w:val="20"/>
              </w:rPr>
            </w:pPr>
          </w:p>
        </w:tc>
        <w:tc>
          <w:tcPr>
            <w:tcW w:w="36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36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443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90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90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06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100" w:type="dxa"/>
            <w:gridSpan w:val="3"/>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320"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r>
      <w:tr>
        <w:tblPrEx>
          <w:tblLayout w:type="fixed"/>
          <w:tblCellMar>
            <w:top w:w="0" w:type="dxa"/>
            <w:left w:w="108" w:type="dxa"/>
            <w:bottom w:w="0" w:type="dxa"/>
            <w:right w:w="108" w:type="dxa"/>
          </w:tblCellMar>
        </w:tblPrEx>
        <w:trPr>
          <w:gridAfter w:val="1"/>
          <w:wAfter w:w="120" w:type="dxa"/>
          <w:trHeight w:val="260" w:hRule="atLeast"/>
        </w:trPr>
        <w:tc>
          <w:tcPr>
            <w:tcW w:w="36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36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360" w:type="dxa"/>
            <w:tcBorders>
              <w:top w:val="nil"/>
              <w:left w:val="nil"/>
              <w:bottom w:val="nil"/>
              <w:right w:val="nil"/>
            </w:tcBorders>
            <w:shd w:val="clear" w:color="auto" w:fill="auto"/>
            <w:vAlign w:val="bottom"/>
          </w:tcPr>
          <w:p>
            <w:pPr>
              <w:widowControl/>
              <w:jc w:val="left"/>
              <w:rPr>
                <w:rFonts w:ascii="Times New Roman" w:hAnsi="Times New Roman" w:eastAsiaTheme="minorEastAsia"/>
                <w:kern w:val="0"/>
                <w:sz w:val="20"/>
                <w:szCs w:val="20"/>
              </w:rPr>
            </w:pPr>
          </w:p>
        </w:tc>
        <w:tc>
          <w:tcPr>
            <w:tcW w:w="443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30"/>
                <w:szCs w:val="30"/>
              </w:rPr>
            </w:pPr>
          </w:p>
        </w:tc>
        <w:tc>
          <w:tcPr>
            <w:tcW w:w="190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30"/>
                <w:szCs w:val="30"/>
              </w:rPr>
            </w:pPr>
            <w:r>
              <w:rPr>
                <w:rFonts w:hint="eastAsia" w:ascii="宋体" w:hAnsi="宋体" w:cs="宋体"/>
                <w:kern w:val="0"/>
                <w:sz w:val="30"/>
                <w:szCs w:val="30"/>
              </w:rPr>
              <w:t>收入决算表</w:t>
            </w:r>
          </w:p>
        </w:tc>
        <w:tc>
          <w:tcPr>
            <w:tcW w:w="190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06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000"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020"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100"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320" w:type="dxa"/>
            <w:gridSpan w:val="2"/>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公开02表</w:t>
            </w:r>
          </w:p>
        </w:tc>
      </w:tr>
      <w:tr>
        <w:tblPrEx>
          <w:tblLayout w:type="fixed"/>
          <w:tblCellMar>
            <w:top w:w="0" w:type="dxa"/>
            <w:left w:w="108" w:type="dxa"/>
            <w:bottom w:w="0" w:type="dxa"/>
            <w:right w:w="108" w:type="dxa"/>
          </w:tblCellMar>
        </w:tblPrEx>
        <w:trPr>
          <w:gridAfter w:val="1"/>
          <w:wAfter w:w="120" w:type="dxa"/>
          <w:trHeight w:val="260" w:hRule="atLeast"/>
        </w:trPr>
        <w:tc>
          <w:tcPr>
            <w:tcW w:w="5510" w:type="dxa"/>
            <w:gridSpan w:val="4"/>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部门：河南省周口市项城市地方史志编纂办公室</w:t>
            </w:r>
          </w:p>
        </w:tc>
        <w:tc>
          <w:tcPr>
            <w:tcW w:w="1900" w:type="dxa"/>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p>
        </w:tc>
        <w:tc>
          <w:tcPr>
            <w:tcW w:w="190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06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000"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020"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100"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320" w:type="dxa"/>
            <w:gridSpan w:val="2"/>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金额单位：元</w:t>
            </w:r>
          </w:p>
        </w:tc>
      </w:tr>
      <w:tr>
        <w:tblPrEx>
          <w:tblLayout w:type="fixed"/>
          <w:tblCellMar>
            <w:top w:w="0" w:type="dxa"/>
            <w:left w:w="108" w:type="dxa"/>
            <w:bottom w:w="0" w:type="dxa"/>
            <w:right w:w="108" w:type="dxa"/>
          </w:tblCellMar>
        </w:tblPrEx>
        <w:trPr>
          <w:gridAfter w:val="1"/>
          <w:wAfter w:w="120" w:type="dxa"/>
          <w:trHeight w:val="308" w:hRule="atLeast"/>
        </w:trPr>
        <w:tc>
          <w:tcPr>
            <w:tcW w:w="5510" w:type="dxa"/>
            <w:gridSpan w:val="4"/>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项目</w:t>
            </w:r>
          </w:p>
        </w:tc>
        <w:tc>
          <w:tcPr>
            <w:tcW w:w="1900" w:type="dxa"/>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本年收入合计</w:t>
            </w:r>
          </w:p>
        </w:tc>
        <w:tc>
          <w:tcPr>
            <w:tcW w:w="1900" w:type="dxa"/>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财政拨款收入</w:t>
            </w:r>
          </w:p>
        </w:tc>
        <w:tc>
          <w:tcPr>
            <w:tcW w:w="1060" w:type="dxa"/>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上级补助收入</w:t>
            </w:r>
          </w:p>
        </w:tc>
        <w:tc>
          <w:tcPr>
            <w:tcW w:w="1000" w:type="dxa"/>
            <w:gridSpan w:val="2"/>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事业收入</w:t>
            </w:r>
          </w:p>
        </w:tc>
        <w:tc>
          <w:tcPr>
            <w:tcW w:w="1020" w:type="dxa"/>
            <w:gridSpan w:val="2"/>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经营收入</w:t>
            </w:r>
          </w:p>
        </w:tc>
        <w:tc>
          <w:tcPr>
            <w:tcW w:w="1100" w:type="dxa"/>
            <w:gridSpan w:val="2"/>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附属单位上缴收入</w:t>
            </w:r>
          </w:p>
        </w:tc>
        <w:tc>
          <w:tcPr>
            <w:tcW w:w="1320" w:type="dxa"/>
            <w:gridSpan w:val="2"/>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其他收入</w:t>
            </w:r>
          </w:p>
        </w:tc>
      </w:tr>
      <w:tr>
        <w:tblPrEx>
          <w:tblLayout w:type="fixed"/>
          <w:tblCellMar>
            <w:top w:w="0" w:type="dxa"/>
            <w:left w:w="108" w:type="dxa"/>
            <w:bottom w:w="0" w:type="dxa"/>
            <w:right w:w="108" w:type="dxa"/>
          </w:tblCellMar>
        </w:tblPrEx>
        <w:trPr>
          <w:gridAfter w:val="1"/>
          <w:wAfter w:w="120" w:type="dxa"/>
          <w:trHeight w:val="340" w:hRule="atLeast"/>
        </w:trPr>
        <w:tc>
          <w:tcPr>
            <w:tcW w:w="1080"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功能分类科目编码</w:t>
            </w:r>
          </w:p>
        </w:tc>
        <w:tc>
          <w:tcPr>
            <w:tcW w:w="443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科目名称</w:t>
            </w:r>
          </w:p>
        </w:tc>
        <w:tc>
          <w:tcPr>
            <w:tcW w:w="190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90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06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00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02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10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32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gridAfter w:val="1"/>
          <w:wAfter w:w="120" w:type="dxa"/>
          <w:trHeight w:val="340" w:hRule="atLeast"/>
        </w:trPr>
        <w:tc>
          <w:tcPr>
            <w:tcW w:w="1080"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443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90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90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06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00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02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10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32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gridAfter w:val="1"/>
          <w:wAfter w:w="120" w:type="dxa"/>
          <w:trHeight w:val="340" w:hRule="atLeast"/>
        </w:trPr>
        <w:tc>
          <w:tcPr>
            <w:tcW w:w="1080"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443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90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90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06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00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02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10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32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gridAfter w:val="1"/>
          <w:wAfter w:w="120" w:type="dxa"/>
          <w:trHeight w:val="308" w:hRule="atLeast"/>
        </w:trPr>
        <w:tc>
          <w:tcPr>
            <w:tcW w:w="5510" w:type="dxa"/>
            <w:gridSpan w:val="4"/>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栏次</w:t>
            </w:r>
          </w:p>
        </w:tc>
        <w:tc>
          <w:tcPr>
            <w:tcW w:w="19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w:t>
            </w:r>
          </w:p>
        </w:tc>
        <w:tc>
          <w:tcPr>
            <w:tcW w:w="19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w:t>
            </w:r>
          </w:p>
        </w:tc>
        <w:tc>
          <w:tcPr>
            <w:tcW w:w="106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w:t>
            </w:r>
          </w:p>
        </w:tc>
        <w:tc>
          <w:tcPr>
            <w:tcW w:w="100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w:t>
            </w:r>
          </w:p>
        </w:tc>
        <w:tc>
          <w:tcPr>
            <w:tcW w:w="102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w:t>
            </w:r>
          </w:p>
        </w:tc>
        <w:tc>
          <w:tcPr>
            <w:tcW w:w="110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6</w:t>
            </w:r>
          </w:p>
        </w:tc>
        <w:tc>
          <w:tcPr>
            <w:tcW w:w="132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7</w:t>
            </w:r>
          </w:p>
        </w:tc>
      </w:tr>
      <w:tr>
        <w:tblPrEx>
          <w:tblLayout w:type="fixed"/>
          <w:tblCellMar>
            <w:top w:w="0" w:type="dxa"/>
            <w:left w:w="108" w:type="dxa"/>
            <w:bottom w:w="0" w:type="dxa"/>
            <w:right w:w="108" w:type="dxa"/>
          </w:tblCellMar>
        </w:tblPrEx>
        <w:trPr>
          <w:gridAfter w:val="1"/>
          <w:wAfter w:w="120" w:type="dxa"/>
          <w:trHeight w:val="308" w:hRule="atLeast"/>
        </w:trPr>
        <w:tc>
          <w:tcPr>
            <w:tcW w:w="5510" w:type="dxa"/>
            <w:gridSpan w:val="4"/>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合计</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szCs w:val="22"/>
              </w:rPr>
            </w:pPr>
            <w:r>
              <w:rPr>
                <w:rFonts w:hint="eastAsia" w:ascii="宋体" w:hAnsi="宋体" w:cs="Arial"/>
                <w:b/>
                <w:bCs/>
                <w:color w:val="000000"/>
                <w:kern w:val="0"/>
                <w:sz w:val="22"/>
                <w:szCs w:val="22"/>
              </w:rPr>
              <w:t>1,924,220.00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szCs w:val="22"/>
              </w:rPr>
            </w:pPr>
            <w:r>
              <w:rPr>
                <w:rFonts w:hint="eastAsia" w:ascii="宋体" w:hAnsi="宋体" w:cs="Arial"/>
                <w:b/>
                <w:bCs/>
                <w:color w:val="000000"/>
                <w:kern w:val="0"/>
                <w:sz w:val="22"/>
                <w:szCs w:val="22"/>
              </w:rPr>
              <w:t>1,924,220.00</w:t>
            </w:r>
          </w:p>
        </w:tc>
        <w:tc>
          <w:tcPr>
            <w:tcW w:w="10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szCs w:val="22"/>
              </w:rPr>
            </w:pPr>
            <w:r>
              <w:rPr>
                <w:rFonts w:hint="eastAsia" w:ascii="宋体" w:hAnsi="宋体" w:cs="Arial"/>
                <w:b/>
                <w:bCs/>
                <w:color w:val="000000"/>
                <w:kern w:val="0"/>
                <w:sz w:val="22"/>
                <w:szCs w:val="22"/>
              </w:rPr>
              <w:t>0.00</w:t>
            </w:r>
          </w:p>
        </w:tc>
        <w:tc>
          <w:tcPr>
            <w:tcW w:w="10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szCs w:val="22"/>
              </w:rPr>
            </w:pPr>
            <w:r>
              <w:rPr>
                <w:rFonts w:hint="eastAsia" w:ascii="宋体" w:hAnsi="宋体" w:cs="Arial"/>
                <w:b/>
                <w:bCs/>
                <w:color w:val="000000"/>
                <w:kern w:val="0"/>
                <w:sz w:val="22"/>
                <w:szCs w:val="22"/>
              </w:rPr>
              <w:t>0.00</w:t>
            </w:r>
          </w:p>
        </w:tc>
        <w:tc>
          <w:tcPr>
            <w:tcW w:w="10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szCs w:val="22"/>
              </w:rPr>
            </w:pPr>
            <w:r>
              <w:rPr>
                <w:rFonts w:hint="eastAsia" w:ascii="宋体" w:hAnsi="宋体" w:cs="Arial"/>
                <w:b/>
                <w:bCs/>
                <w:color w:val="000000"/>
                <w:kern w:val="0"/>
                <w:sz w:val="22"/>
                <w:szCs w:val="22"/>
              </w:rPr>
              <w:t>0.00</w:t>
            </w:r>
          </w:p>
        </w:tc>
        <w:tc>
          <w:tcPr>
            <w:tcW w:w="11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szCs w:val="22"/>
              </w:rPr>
            </w:pPr>
            <w:r>
              <w:rPr>
                <w:rFonts w:hint="eastAsia" w:ascii="宋体" w:hAnsi="宋体" w:cs="Arial"/>
                <w:b/>
                <w:bCs/>
                <w:color w:val="000000"/>
                <w:kern w:val="0"/>
                <w:sz w:val="22"/>
                <w:szCs w:val="22"/>
              </w:rPr>
              <w:t>0.00</w:t>
            </w:r>
          </w:p>
        </w:tc>
        <w:tc>
          <w:tcPr>
            <w:tcW w:w="13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szCs w:val="22"/>
              </w:rPr>
            </w:pPr>
            <w:r>
              <w:rPr>
                <w:rFonts w:hint="eastAsia" w:ascii="宋体" w:hAnsi="宋体" w:cs="Arial"/>
                <w:b/>
                <w:bCs/>
                <w:color w:val="000000"/>
                <w:kern w:val="0"/>
                <w:sz w:val="22"/>
                <w:szCs w:val="22"/>
              </w:rPr>
              <w:t>0.00</w:t>
            </w:r>
          </w:p>
        </w:tc>
      </w:tr>
      <w:tr>
        <w:tblPrEx>
          <w:tblLayout w:type="fixed"/>
          <w:tblCellMar>
            <w:top w:w="0" w:type="dxa"/>
            <w:left w:w="108" w:type="dxa"/>
            <w:bottom w:w="0" w:type="dxa"/>
            <w:right w:w="108" w:type="dxa"/>
          </w:tblCellMar>
        </w:tblPrEx>
        <w:trPr>
          <w:gridAfter w:val="1"/>
          <w:wAfter w:w="120" w:type="dxa"/>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一般公共服务支出</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1,695,620.00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1,695,620.00</w:t>
            </w:r>
          </w:p>
        </w:tc>
        <w:tc>
          <w:tcPr>
            <w:tcW w:w="10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120" w:type="dxa"/>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20103</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政府办公厅（室）及相关机构事务</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1,695,620.00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1,695,620.00</w:t>
            </w:r>
          </w:p>
        </w:tc>
        <w:tc>
          <w:tcPr>
            <w:tcW w:w="10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120" w:type="dxa"/>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2010350</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事业运行</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931,620.00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931,620.00</w:t>
            </w:r>
          </w:p>
        </w:tc>
        <w:tc>
          <w:tcPr>
            <w:tcW w:w="10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120" w:type="dxa"/>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2010399</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其他政府办公厅（室）及相关机构事务支出</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764,000.00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764,000.00</w:t>
            </w:r>
          </w:p>
        </w:tc>
        <w:tc>
          <w:tcPr>
            <w:tcW w:w="10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120" w:type="dxa"/>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社会保障和就业支出</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114,200.00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114,200.00</w:t>
            </w:r>
          </w:p>
        </w:tc>
        <w:tc>
          <w:tcPr>
            <w:tcW w:w="10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120" w:type="dxa"/>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20805</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行政事业单位离退休</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109,300.00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109,300.00</w:t>
            </w:r>
          </w:p>
        </w:tc>
        <w:tc>
          <w:tcPr>
            <w:tcW w:w="10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120" w:type="dxa"/>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2080505</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机关事业单位基本养老保险缴费支出</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109,300.00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109,300.00</w:t>
            </w:r>
          </w:p>
        </w:tc>
        <w:tc>
          <w:tcPr>
            <w:tcW w:w="10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120" w:type="dxa"/>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20899</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其他社会保障和就业支出</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4,900.00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4,900.00</w:t>
            </w:r>
          </w:p>
        </w:tc>
        <w:tc>
          <w:tcPr>
            <w:tcW w:w="10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120" w:type="dxa"/>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2089901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其他社会保障和就业支出</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4,900.00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4,900.00</w:t>
            </w:r>
          </w:p>
        </w:tc>
        <w:tc>
          <w:tcPr>
            <w:tcW w:w="10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120" w:type="dxa"/>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医疗卫生与计划生育支出</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59,800.00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59,800.00</w:t>
            </w:r>
          </w:p>
        </w:tc>
        <w:tc>
          <w:tcPr>
            <w:tcW w:w="10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120" w:type="dxa"/>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21011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行政事业单位医疗</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59,800.00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59,800.00</w:t>
            </w:r>
          </w:p>
        </w:tc>
        <w:tc>
          <w:tcPr>
            <w:tcW w:w="10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120" w:type="dxa"/>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2101101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行政单位医疗</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58,200.00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58,200.00</w:t>
            </w:r>
          </w:p>
        </w:tc>
        <w:tc>
          <w:tcPr>
            <w:tcW w:w="10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120" w:type="dxa"/>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2101199</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其他行政事业单位医疗支出</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1,600.00</w:t>
            </w:r>
          </w:p>
        </w:tc>
        <w:tc>
          <w:tcPr>
            <w:tcW w:w="10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120" w:type="dxa"/>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221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住房保障支出</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54,600.00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54,600.00</w:t>
            </w:r>
          </w:p>
        </w:tc>
        <w:tc>
          <w:tcPr>
            <w:tcW w:w="10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120" w:type="dxa"/>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22102</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住房改革支出</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54,600.00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54,600.00</w:t>
            </w:r>
          </w:p>
        </w:tc>
        <w:tc>
          <w:tcPr>
            <w:tcW w:w="10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gridAfter w:val="1"/>
          <w:wAfter w:w="120" w:type="dxa"/>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2210201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住房公积金</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54,600.00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54,600.00</w:t>
            </w:r>
          </w:p>
        </w:tc>
        <w:tc>
          <w:tcPr>
            <w:tcW w:w="10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2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70" w:hRule="atLeast"/>
        </w:trPr>
        <w:tc>
          <w:tcPr>
            <w:tcW w:w="360" w:type="dxa"/>
            <w:tcBorders>
              <w:top w:val="nil"/>
              <w:left w:val="nil"/>
              <w:bottom w:val="nil"/>
              <w:right w:val="nil"/>
            </w:tcBorders>
            <w:shd w:val="clear" w:color="auto" w:fill="auto"/>
            <w:vAlign w:val="bottom"/>
          </w:tcPr>
          <w:p>
            <w:pPr>
              <w:widowControl/>
              <w:jc w:val="left"/>
              <w:rPr>
                <w:rFonts w:ascii="Times New Roman" w:hAnsi="Times New Roman" w:cs="宋体"/>
                <w:kern w:val="0"/>
                <w:sz w:val="20"/>
                <w:szCs w:val="20"/>
              </w:rPr>
            </w:pPr>
          </w:p>
        </w:tc>
        <w:tc>
          <w:tcPr>
            <w:tcW w:w="36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36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443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90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p>
            <w:pPr>
              <w:widowControl/>
              <w:jc w:val="left"/>
              <w:rPr>
                <w:rFonts w:ascii="Times New Roman" w:hAnsi="Times New Roman" w:eastAsia="Times New Roman"/>
                <w:kern w:val="0"/>
                <w:sz w:val="20"/>
                <w:szCs w:val="20"/>
              </w:rPr>
            </w:pPr>
          </w:p>
        </w:tc>
        <w:tc>
          <w:tcPr>
            <w:tcW w:w="1900" w:type="dxa"/>
            <w:tcBorders>
              <w:top w:val="nil"/>
              <w:left w:val="nil"/>
              <w:bottom w:val="nil"/>
              <w:right w:val="nil"/>
            </w:tcBorders>
            <w:shd w:val="clear" w:color="auto" w:fill="auto"/>
            <w:vAlign w:val="bottom"/>
          </w:tcPr>
          <w:p>
            <w:pPr>
              <w:widowControl/>
              <w:rPr>
                <w:rFonts w:hint="eastAsia" w:ascii="宋体" w:hAnsi="宋体" w:cs="Arial"/>
                <w:color w:val="000000"/>
                <w:kern w:val="0"/>
                <w:sz w:val="30"/>
                <w:szCs w:val="30"/>
              </w:rPr>
            </w:pPr>
          </w:p>
          <w:p>
            <w:pPr>
              <w:widowControl/>
              <w:rPr>
                <w:rFonts w:hint="eastAsia" w:ascii="宋体" w:hAnsi="宋体" w:cs="Arial"/>
                <w:color w:val="000000"/>
                <w:kern w:val="0"/>
                <w:sz w:val="30"/>
                <w:szCs w:val="30"/>
              </w:rPr>
            </w:pPr>
          </w:p>
          <w:p>
            <w:pPr>
              <w:widowControl/>
              <w:rPr>
                <w:rFonts w:hint="eastAsia" w:ascii="宋体" w:hAnsi="宋体" w:cs="Arial"/>
                <w:color w:val="000000"/>
                <w:kern w:val="0"/>
                <w:sz w:val="30"/>
                <w:szCs w:val="30"/>
              </w:rPr>
            </w:pPr>
          </w:p>
          <w:p>
            <w:pPr>
              <w:widowControl/>
              <w:rPr>
                <w:rFonts w:hint="eastAsia" w:ascii="宋体" w:hAnsi="宋体" w:cs="Arial"/>
                <w:color w:val="000000"/>
                <w:kern w:val="0"/>
                <w:sz w:val="30"/>
                <w:szCs w:val="30"/>
              </w:rPr>
            </w:pPr>
          </w:p>
          <w:p>
            <w:pPr>
              <w:widowControl/>
              <w:rPr>
                <w:rFonts w:hint="eastAsia" w:ascii="宋体" w:hAnsi="宋体" w:cs="Arial"/>
                <w:color w:val="000000"/>
                <w:kern w:val="0"/>
                <w:sz w:val="30"/>
                <w:szCs w:val="30"/>
              </w:rPr>
            </w:pPr>
          </w:p>
          <w:p>
            <w:pPr>
              <w:widowControl/>
              <w:rPr>
                <w:rFonts w:hint="eastAsia" w:ascii="宋体" w:hAnsi="宋体" w:cs="Arial"/>
                <w:color w:val="000000"/>
                <w:kern w:val="0"/>
                <w:sz w:val="30"/>
                <w:szCs w:val="30"/>
              </w:rPr>
            </w:pPr>
          </w:p>
          <w:p>
            <w:pPr>
              <w:widowControl/>
              <w:rPr>
                <w:rFonts w:hint="eastAsia" w:ascii="宋体" w:hAnsi="宋体" w:cs="Arial"/>
                <w:color w:val="000000"/>
                <w:kern w:val="0"/>
                <w:sz w:val="30"/>
                <w:szCs w:val="30"/>
              </w:rPr>
            </w:pPr>
          </w:p>
          <w:p>
            <w:pPr>
              <w:widowControl/>
              <w:rPr>
                <w:rFonts w:hint="eastAsia" w:ascii="宋体" w:hAnsi="宋体" w:cs="Arial"/>
                <w:color w:val="000000"/>
                <w:kern w:val="0"/>
                <w:sz w:val="30"/>
                <w:szCs w:val="30"/>
              </w:rPr>
            </w:pPr>
          </w:p>
          <w:p>
            <w:pPr>
              <w:widowControl/>
              <w:rPr>
                <w:rFonts w:hint="eastAsia" w:ascii="宋体" w:hAnsi="宋体" w:cs="Arial"/>
                <w:color w:val="000000"/>
                <w:kern w:val="0"/>
                <w:sz w:val="30"/>
                <w:szCs w:val="30"/>
              </w:rPr>
            </w:pPr>
          </w:p>
          <w:p>
            <w:pPr>
              <w:widowControl/>
              <w:rPr>
                <w:rFonts w:hint="eastAsia" w:ascii="宋体" w:hAnsi="宋体" w:cs="Arial"/>
                <w:color w:val="000000"/>
                <w:kern w:val="0"/>
                <w:sz w:val="30"/>
                <w:szCs w:val="30"/>
              </w:rPr>
            </w:pPr>
          </w:p>
          <w:p>
            <w:pPr>
              <w:widowControl/>
              <w:rPr>
                <w:rFonts w:hint="eastAsia" w:ascii="宋体" w:hAnsi="宋体" w:cs="Arial"/>
                <w:color w:val="000000"/>
                <w:kern w:val="0"/>
                <w:sz w:val="30"/>
                <w:szCs w:val="30"/>
              </w:rPr>
            </w:pPr>
          </w:p>
          <w:p>
            <w:pPr>
              <w:widowControl/>
              <w:rPr>
                <w:rFonts w:hint="eastAsia" w:ascii="宋体" w:hAnsi="宋体" w:cs="Arial"/>
                <w:color w:val="000000"/>
                <w:kern w:val="0"/>
                <w:sz w:val="30"/>
                <w:szCs w:val="30"/>
              </w:rPr>
            </w:pPr>
          </w:p>
          <w:p>
            <w:pPr>
              <w:widowControl/>
              <w:rPr>
                <w:rFonts w:ascii="宋体" w:hAnsi="宋体" w:cs="Arial"/>
                <w:color w:val="000000"/>
                <w:kern w:val="0"/>
                <w:sz w:val="30"/>
                <w:szCs w:val="30"/>
              </w:rPr>
            </w:pPr>
            <w:r>
              <w:rPr>
                <w:rFonts w:hint="eastAsia" w:ascii="宋体" w:hAnsi="宋体" w:cs="Arial"/>
                <w:color w:val="000000"/>
                <w:kern w:val="0"/>
                <w:sz w:val="30"/>
                <w:szCs w:val="30"/>
              </w:rPr>
              <w:t>支出决算表</w:t>
            </w:r>
          </w:p>
        </w:tc>
        <w:tc>
          <w:tcPr>
            <w:tcW w:w="1900" w:type="dxa"/>
            <w:gridSpan w:val="2"/>
            <w:tcBorders>
              <w:top w:val="nil"/>
              <w:left w:val="nil"/>
              <w:bottom w:val="nil"/>
              <w:right w:val="nil"/>
            </w:tcBorders>
            <w:shd w:val="clear" w:color="auto" w:fill="auto"/>
            <w:vAlign w:val="bottom"/>
          </w:tcPr>
          <w:p>
            <w:pPr>
              <w:widowControl/>
              <w:jc w:val="center"/>
              <w:rPr>
                <w:rFonts w:ascii="宋体" w:hAnsi="宋体" w:cs="Arial"/>
                <w:color w:val="000000"/>
                <w:kern w:val="0"/>
                <w:sz w:val="30"/>
                <w:szCs w:val="30"/>
              </w:rPr>
            </w:pPr>
          </w:p>
        </w:tc>
        <w:tc>
          <w:tcPr>
            <w:tcW w:w="1180" w:type="dxa"/>
            <w:gridSpan w:val="3"/>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240" w:type="dxa"/>
            <w:gridSpan w:val="3"/>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300"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r>
      <w:tr>
        <w:tblPrEx>
          <w:tblLayout w:type="fixed"/>
          <w:tblCellMar>
            <w:top w:w="0" w:type="dxa"/>
            <w:left w:w="108" w:type="dxa"/>
            <w:bottom w:w="0" w:type="dxa"/>
            <w:right w:w="108" w:type="dxa"/>
          </w:tblCellMar>
        </w:tblPrEx>
        <w:trPr>
          <w:trHeight w:val="260" w:hRule="atLeast"/>
        </w:trPr>
        <w:tc>
          <w:tcPr>
            <w:tcW w:w="36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36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36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443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90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90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900"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180" w:type="dxa"/>
            <w:gridSpan w:val="3"/>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240" w:type="dxa"/>
            <w:gridSpan w:val="3"/>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300" w:type="dxa"/>
            <w:gridSpan w:val="2"/>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公开03表</w:t>
            </w:r>
          </w:p>
        </w:tc>
      </w:tr>
      <w:tr>
        <w:tblPrEx>
          <w:tblLayout w:type="fixed"/>
          <w:tblCellMar>
            <w:top w:w="0" w:type="dxa"/>
            <w:left w:w="108" w:type="dxa"/>
            <w:bottom w:w="0" w:type="dxa"/>
            <w:right w:w="108" w:type="dxa"/>
          </w:tblCellMar>
        </w:tblPrEx>
        <w:trPr>
          <w:trHeight w:val="260" w:hRule="atLeast"/>
        </w:trPr>
        <w:tc>
          <w:tcPr>
            <w:tcW w:w="14930" w:type="dxa"/>
            <w:gridSpan w:val="16"/>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部门：河南省周口市项城市地方史志编纂办公室</w:t>
            </w:r>
          </w:p>
          <w:p>
            <w:pPr>
              <w:widowControl/>
              <w:jc w:val="right"/>
              <w:rPr>
                <w:rFonts w:ascii="宋体" w:hAnsi="宋体" w:cs="Arial"/>
                <w:color w:val="000000"/>
                <w:kern w:val="0"/>
                <w:sz w:val="20"/>
                <w:szCs w:val="20"/>
              </w:rPr>
            </w:pPr>
            <w:r>
              <w:rPr>
                <w:rFonts w:hint="eastAsia" w:ascii="宋体" w:hAnsi="宋体" w:cs="Arial"/>
                <w:color w:val="000000"/>
                <w:kern w:val="0"/>
                <w:sz w:val="20"/>
                <w:szCs w:val="20"/>
              </w:rPr>
              <w:t>金额单位：元</w:t>
            </w:r>
          </w:p>
        </w:tc>
      </w:tr>
      <w:tr>
        <w:tblPrEx>
          <w:tblLayout w:type="fixed"/>
          <w:tblCellMar>
            <w:top w:w="0" w:type="dxa"/>
            <w:left w:w="108" w:type="dxa"/>
            <w:bottom w:w="0" w:type="dxa"/>
            <w:right w:w="108" w:type="dxa"/>
          </w:tblCellMar>
        </w:tblPrEx>
        <w:trPr>
          <w:trHeight w:val="308" w:hRule="atLeast"/>
        </w:trPr>
        <w:tc>
          <w:tcPr>
            <w:tcW w:w="5510" w:type="dxa"/>
            <w:gridSpan w:val="4"/>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项目</w:t>
            </w:r>
          </w:p>
        </w:tc>
        <w:tc>
          <w:tcPr>
            <w:tcW w:w="1900" w:type="dxa"/>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本年支出合计</w:t>
            </w:r>
          </w:p>
        </w:tc>
        <w:tc>
          <w:tcPr>
            <w:tcW w:w="1900" w:type="dxa"/>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基本支出</w:t>
            </w:r>
          </w:p>
        </w:tc>
        <w:tc>
          <w:tcPr>
            <w:tcW w:w="1900" w:type="dxa"/>
            <w:gridSpan w:val="2"/>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项目支出</w:t>
            </w:r>
          </w:p>
        </w:tc>
        <w:tc>
          <w:tcPr>
            <w:tcW w:w="1180" w:type="dxa"/>
            <w:gridSpan w:val="3"/>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上缴上级支出</w:t>
            </w:r>
          </w:p>
        </w:tc>
        <w:tc>
          <w:tcPr>
            <w:tcW w:w="1240" w:type="dxa"/>
            <w:gridSpan w:val="3"/>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经营支出</w:t>
            </w:r>
          </w:p>
        </w:tc>
        <w:tc>
          <w:tcPr>
            <w:tcW w:w="1300" w:type="dxa"/>
            <w:gridSpan w:val="2"/>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对附属单位补助支出</w:t>
            </w:r>
          </w:p>
        </w:tc>
      </w:tr>
      <w:tr>
        <w:tblPrEx>
          <w:tblLayout w:type="fixed"/>
          <w:tblCellMar>
            <w:top w:w="0" w:type="dxa"/>
            <w:left w:w="108" w:type="dxa"/>
            <w:bottom w:w="0" w:type="dxa"/>
            <w:right w:w="108" w:type="dxa"/>
          </w:tblCellMar>
        </w:tblPrEx>
        <w:trPr>
          <w:trHeight w:val="340" w:hRule="atLeast"/>
        </w:trPr>
        <w:tc>
          <w:tcPr>
            <w:tcW w:w="1080"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功能分类科目编码</w:t>
            </w:r>
          </w:p>
        </w:tc>
        <w:tc>
          <w:tcPr>
            <w:tcW w:w="443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科目名称</w:t>
            </w:r>
          </w:p>
        </w:tc>
        <w:tc>
          <w:tcPr>
            <w:tcW w:w="190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90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90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180" w:type="dxa"/>
            <w:gridSpan w:val="3"/>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240" w:type="dxa"/>
            <w:gridSpan w:val="3"/>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30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40" w:hRule="atLeast"/>
        </w:trPr>
        <w:tc>
          <w:tcPr>
            <w:tcW w:w="1080"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443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90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90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90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180" w:type="dxa"/>
            <w:gridSpan w:val="3"/>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240" w:type="dxa"/>
            <w:gridSpan w:val="3"/>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30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40" w:hRule="atLeast"/>
        </w:trPr>
        <w:tc>
          <w:tcPr>
            <w:tcW w:w="1080"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443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90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900"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90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180" w:type="dxa"/>
            <w:gridSpan w:val="3"/>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240" w:type="dxa"/>
            <w:gridSpan w:val="3"/>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300" w:type="dxa"/>
            <w:gridSpan w:val="2"/>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08" w:hRule="atLeast"/>
        </w:trPr>
        <w:tc>
          <w:tcPr>
            <w:tcW w:w="5510" w:type="dxa"/>
            <w:gridSpan w:val="4"/>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栏次</w:t>
            </w:r>
          </w:p>
        </w:tc>
        <w:tc>
          <w:tcPr>
            <w:tcW w:w="19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w:t>
            </w:r>
          </w:p>
        </w:tc>
        <w:tc>
          <w:tcPr>
            <w:tcW w:w="19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w:t>
            </w:r>
          </w:p>
        </w:tc>
        <w:tc>
          <w:tcPr>
            <w:tcW w:w="190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w:t>
            </w:r>
          </w:p>
        </w:tc>
        <w:tc>
          <w:tcPr>
            <w:tcW w:w="1180" w:type="dxa"/>
            <w:gridSpan w:val="3"/>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w:t>
            </w:r>
          </w:p>
        </w:tc>
        <w:tc>
          <w:tcPr>
            <w:tcW w:w="1240" w:type="dxa"/>
            <w:gridSpan w:val="3"/>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w:t>
            </w:r>
          </w:p>
        </w:tc>
        <w:tc>
          <w:tcPr>
            <w:tcW w:w="1300"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6</w:t>
            </w:r>
          </w:p>
        </w:tc>
      </w:tr>
      <w:tr>
        <w:tblPrEx>
          <w:tblLayout w:type="fixed"/>
          <w:tblCellMar>
            <w:top w:w="0" w:type="dxa"/>
            <w:left w:w="108" w:type="dxa"/>
            <w:bottom w:w="0" w:type="dxa"/>
            <w:right w:w="108" w:type="dxa"/>
          </w:tblCellMar>
        </w:tblPrEx>
        <w:trPr>
          <w:trHeight w:val="308" w:hRule="atLeast"/>
        </w:trPr>
        <w:tc>
          <w:tcPr>
            <w:tcW w:w="5510" w:type="dxa"/>
            <w:gridSpan w:val="4"/>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合计</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szCs w:val="22"/>
              </w:rPr>
            </w:pPr>
            <w:r>
              <w:rPr>
                <w:rFonts w:hint="eastAsia" w:ascii="宋体" w:hAnsi="宋体" w:cs="Arial"/>
                <w:b/>
                <w:bCs/>
                <w:color w:val="000000"/>
                <w:kern w:val="0"/>
                <w:sz w:val="22"/>
                <w:szCs w:val="22"/>
              </w:rPr>
              <w:t>1,924,220.00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szCs w:val="22"/>
              </w:rPr>
            </w:pPr>
            <w:r>
              <w:rPr>
                <w:rFonts w:hint="eastAsia" w:ascii="宋体" w:hAnsi="宋体" w:cs="Arial"/>
                <w:b/>
                <w:bCs/>
                <w:color w:val="000000"/>
                <w:kern w:val="0"/>
                <w:sz w:val="22"/>
                <w:szCs w:val="22"/>
              </w:rPr>
              <w:t>1,160,220.00</w:t>
            </w:r>
          </w:p>
        </w:tc>
        <w:tc>
          <w:tcPr>
            <w:tcW w:w="19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szCs w:val="22"/>
              </w:rPr>
            </w:pPr>
            <w:r>
              <w:rPr>
                <w:rFonts w:hint="eastAsia" w:ascii="宋体" w:hAnsi="宋体" w:cs="Arial"/>
                <w:b/>
                <w:bCs/>
                <w:color w:val="000000"/>
                <w:kern w:val="0"/>
                <w:sz w:val="22"/>
                <w:szCs w:val="22"/>
              </w:rPr>
              <w:t>764,000.00</w:t>
            </w:r>
          </w:p>
        </w:tc>
        <w:tc>
          <w:tcPr>
            <w:tcW w:w="118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szCs w:val="22"/>
              </w:rPr>
            </w:pPr>
            <w:r>
              <w:rPr>
                <w:rFonts w:hint="eastAsia" w:ascii="宋体" w:hAnsi="宋体" w:cs="Arial"/>
                <w:b/>
                <w:bCs/>
                <w:color w:val="000000"/>
                <w:kern w:val="0"/>
                <w:sz w:val="22"/>
                <w:szCs w:val="22"/>
              </w:rPr>
              <w:t>0.00</w:t>
            </w:r>
          </w:p>
        </w:tc>
        <w:tc>
          <w:tcPr>
            <w:tcW w:w="124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szCs w:val="22"/>
              </w:rPr>
            </w:pPr>
            <w:r>
              <w:rPr>
                <w:rFonts w:hint="eastAsia" w:ascii="宋体" w:hAnsi="宋体" w:cs="Arial"/>
                <w:b/>
                <w:bCs/>
                <w:color w:val="000000"/>
                <w:kern w:val="0"/>
                <w:sz w:val="22"/>
                <w:szCs w:val="22"/>
              </w:rPr>
              <w:t>0.00</w:t>
            </w:r>
          </w:p>
        </w:tc>
        <w:tc>
          <w:tcPr>
            <w:tcW w:w="13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szCs w:val="22"/>
              </w:rPr>
            </w:pPr>
            <w:r>
              <w:rPr>
                <w:rFonts w:hint="eastAsia" w:ascii="宋体" w:hAnsi="宋体" w:cs="Arial"/>
                <w:b/>
                <w:bCs/>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一般公共服务支出</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1,695,620.00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931,620.00</w:t>
            </w:r>
          </w:p>
        </w:tc>
        <w:tc>
          <w:tcPr>
            <w:tcW w:w="19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764,000.00</w:t>
            </w:r>
          </w:p>
        </w:tc>
        <w:tc>
          <w:tcPr>
            <w:tcW w:w="118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24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20103</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政府办公厅（室）及相关机构事务</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1,695,620.00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931,620.00</w:t>
            </w:r>
          </w:p>
        </w:tc>
        <w:tc>
          <w:tcPr>
            <w:tcW w:w="19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764,000.00</w:t>
            </w:r>
          </w:p>
        </w:tc>
        <w:tc>
          <w:tcPr>
            <w:tcW w:w="118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24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2010350</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事业运行</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931,620.00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931,620.00</w:t>
            </w:r>
          </w:p>
        </w:tc>
        <w:tc>
          <w:tcPr>
            <w:tcW w:w="19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8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24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2010399</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其他政府办公厅（室）及相关机构事务支出</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764,000.00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9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764,000.00</w:t>
            </w:r>
          </w:p>
        </w:tc>
        <w:tc>
          <w:tcPr>
            <w:tcW w:w="118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24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社会保障和就业支出</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114,200.00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114,200.00</w:t>
            </w:r>
          </w:p>
        </w:tc>
        <w:tc>
          <w:tcPr>
            <w:tcW w:w="19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8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24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20805</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行政事业单位离退休</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109,300.00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109,300.00</w:t>
            </w:r>
          </w:p>
        </w:tc>
        <w:tc>
          <w:tcPr>
            <w:tcW w:w="19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8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24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2080505</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机关事业单位基本养老保险缴费支出</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109,300.00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109,300.00</w:t>
            </w:r>
          </w:p>
        </w:tc>
        <w:tc>
          <w:tcPr>
            <w:tcW w:w="19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8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24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20899</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其他社会保障和就业支出</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4,900.00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4,900.00</w:t>
            </w:r>
          </w:p>
        </w:tc>
        <w:tc>
          <w:tcPr>
            <w:tcW w:w="19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8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24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2089901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其他社会保障和就业支出</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4,900.00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4,900.00</w:t>
            </w:r>
          </w:p>
        </w:tc>
        <w:tc>
          <w:tcPr>
            <w:tcW w:w="19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8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24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医疗卫生与计划生育支出</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59,800.00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59,800.00</w:t>
            </w:r>
          </w:p>
        </w:tc>
        <w:tc>
          <w:tcPr>
            <w:tcW w:w="19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8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24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21011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行政事业单位医疗</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59,800.00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59,800.00</w:t>
            </w:r>
          </w:p>
        </w:tc>
        <w:tc>
          <w:tcPr>
            <w:tcW w:w="19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8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24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2101101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行政单位医疗</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58,200.00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58,200.00</w:t>
            </w:r>
          </w:p>
        </w:tc>
        <w:tc>
          <w:tcPr>
            <w:tcW w:w="19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8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24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2101199</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其他行政事业单位医疗支出</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1,600.00</w:t>
            </w:r>
          </w:p>
        </w:tc>
        <w:tc>
          <w:tcPr>
            <w:tcW w:w="19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8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24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221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住房保障支出</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54,600.00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54,600.00</w:t>
            </w:r>
          </w:p>
        </w:tc>
        <w:tc>
          <w:tcPr>
            <w:tcW w:w="19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8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24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22102</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住房改革支出</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54,600.00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54,600.00</w:t>
            </w:r>
          </w:p>
        </w:tc>
        <w:tc>
          <w:tcPr>
            <w:tcW w:w="19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8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24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080"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2210201</w:t>
            </w:r>
          </w:p>
        </w:tc>
        <w:tc>
          <w:tcPr>
            <w:tcW w:w="4430"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住房公积金</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54,600.00</w:t>
            </w:r>
          </w:p>
        </w:tc>
        <w:tc>
          <w:tcPr>
            <w:tcW w:w="190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54,600.00</w:t>
            </w:r>
          </w:p>
        </w:tc>
        <w:tc>
          <w:tcPr>
            <w:tcW w:w="19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8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240" w:type="dxa"/>
            <w:gridSpan w:val="3"/>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00"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4930" w:type="dxa"/>
            <w:gridSpan w:val="16"/>
            <w:tcBorders>
              <w:top w:val="nil"/>
              <w:left w:val="nil"/>
              <w:bottom w:val="nil"/>
              <w:right w:val="nil"/>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注：本表反映部门本年度各项支出情况。</w:t>
            </w:r>
          </w:p>
        </w:tc>
      </w:tr>
    </w:tbl>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tbl>
      <w:tblPr>
        <w:tblStyle w:val="5"/>
        <w:tblW w:w="14400" w:type="dxa"/>
        <w:tblInd w:w="108" w:type="dxa"/>
        <w:tblLayout w:type="fixed"/>
        <w:tblCellMar>
          <w:top w:w="0" w:type="dxa"/>
          <w:left w:w="108" w:type="dxa"/>
          <w:bottom w:w="0" w:type="dxa"/>
          <w:right w:w="108" w:type="dxa"/>
        </w:tblCellMar>
      </w:tblPr>
      <w:tblGrid>
        <w:gridCol w:w="3220"/>
        <w:gridCol w:w="600"/>
        <w:gridCol w:w="1760"/>
        <w:gridCol w:w="3180"/>
        <w:gridCol w:w="600"/>
        <w:gridCol w:w="1760"/>
        <w:gridCol w:w="1760"/>
        <w:gridCol w:w="1520"/>
      </w:tblGrid>
      <w:tr>
        <w:tblPrEx>
          <w:tblLayout w:type="fixed"/>
          <w:tblCellMar>
            <w:top w:w="0" w:type="dxa"/>
            <w:left w:w="108" w:type="dxa"/>
            <w:bottom w:w="0" w:type="dxa"/>
            <w:right w:w="108" w:type="dxa"/>
          </w:tblCellMar>
        </w:tblPrEx>
        <w:trPr>
          <w:trHeight w:val="370" w:hRule="atLeast"/>
        </w:trPr>
        <w:tc>
          <w:tcPr>
            <w:tcW w:w="3220" w:type="dxa"/>
            <w:tcBorders>
              <w:top w:val="nil"/>
              <w:left w:val="nil"/>
              <w:bottom w:val="nil"/>
              <w:right w:val="nil"/>
            </w:tcBorders>
            <w:shd w:val="clear" w:color="auto" w:fill="auto"/>
            <w:vAlign w:val="bottom"/>
          </w:tcPr>
          <w:p>
            <w:pPr>
              <w:widowControl/>
              <w:jc w:val="left"/>
              <w:rPr>
                <w:rFonts w:ascii="Times New Roman" w:hAnsi="Times New Roman" w:cs="宋体"/>
                <w:kern w:val="0"/>
                <w:sz w:val="20"/>
                <w:szCs w:val="20"/>
              </w:rPr>
            </w:pPr>
          </w:p>
        </w:tc>
        <w:tc>
          <w:tcPr>
            <w:tcW w:w="60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76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3180" w:type="dxa"/>
            <w:tcBorders>
              <w:top w:val="nil"/>
              <w:left w:val="nil"/>
              <w:bottom w:val="nil"/>
              <w:right w:val="nil"/>
            </w:tcBorders>
            <w:shd w:val="clear" w:color="auto" w:fill="auto"/>
            <w:vAlign w:val="bottom"/>
          </w:tcPr>
          <w:p>
            <w:r>
              <w:rPr>
                <w:rFonts w:hint="eastAsia"/>
              </w:rPr>
              <w:t>财政拨款收入支出决算总表</w:t>
            </w:r>
          </w:p>
        </w:tc>
        <w:tc>
          <w:tcPr>
            <w:tcW w:w="600" w:type="dxa"/>
            <w:tcBorders>
              <w:top w:val="nil"/>
              <w:left w:val="nil"/>
              <w:bottom w:val="nil"/>
              <w:right w:val="nil"/>
            </w:tcBorders>
            <w:shd w:val="clear" w:color="auto" w:fill="auto"/>
            <w:vAlign w:val="bottom"/>
          </w:tcPr>
          <w:p>
            <w:pPr>
              <w:widowControl/>
              <w:jc w:val="center"/>
              <w:rPr>
                <w:rFonts w:ascii="宋体" w:hAnsi="宋体" w:cs="Arial"/>
                <w:color w:val="000000"/>
                <w:kern w:val="0"/>
                <w:sz w:val="30"/>
                <w:szCs w:val="30"/>
              </w:rPr>
            </w:pPr>
          </w:p>
        </w:tc>
        <w:tc>
          <w:tcPr>
            <w:tcW w:w="176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76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52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r>
      <w:tr>
        <w:tblPrEx>
          <w:tblLayout w:type="fixed"/>
          <w:tblCellMar>
            <w:top w:w="0" w:type="dxa"/>
            <w:left w:w="108" w:type="dxa"/>
            <w:bottom w:w="0" w:type="dxa"/>
            <w:right w:w="108" w:type="dxa"/>
          </w:tblCellMar>
        </w:tblPrEx>
        <w:trPr>
          <w:trHeight w:val="260" w:hRule="atLeast"/>
        </w:trPr>
        <w:tc>
          <w:tcPr>
            <w:tcW w:w="322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60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76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318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60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76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76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520" w:type="dxa"/>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公开04表</w:t>
            </w:r>
          </w:p>
        </w:tc>
      </w:tr>
      <w:tr>
        <w:tblPrEx>
          <w:tblLayout w:type="fixed"/>
          <w:tblCellMar>
            <w:top w:w="0" w:type="dxa"/>
            <w:left w:w="108" w:type="dxa"/>
            <w:bottom w:w="0" w:type="dxa"/>
            <w:right w:w="108" w:type="dxa"/>
          </w:tblCellMar>
        </w:tblPrEx>
        <w:trPr>
          <w:trHeight w:val="260" w:hRule="atLeast"/>
        </w:trPr>
        <w:tc>
          <w:tcPr>
            <w:tcW w:w="5580" w:type="dxa"/>
            <w:gridSpan w:val="3"/>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部门：河南省周口市项城市地方史志编纂办公室</w:t>
            </w:r>
          </w:p>
        </w:tc>
        <w:tc>
          <w:tcPr>
            <w:tcW w:w="3180" w:type="dxa"/>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p>
        </w:tc>
        <w:tc>
          <w:tcPr>
            <w:tcW w:w="60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76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76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520" w:type="dxa"/>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金额单位：元</w:t>
            </w:r>
          </w:p>
        </w:tc>
      </w:tr>
      <w:tr>
        <w:tblPrEx>
          <w:tblLayout w:type="fixed"/>
          <w:tblCellMar>
            <w:top w:w="0" w:type="dxa"/>
            <w:left w:w="108" w:type="dxa"/>
            <w:bottom w:w="0" w:type="dxa"/>
            <w:right w:w="108" w:type="dxa"/>
          </w:tblCellMar>
        </w:tblPrEx>
        <w:trPr>
          <w:trHeight w:val="260" w:hRule="atLeast"/>
        </w:trPr>
        <w:tc>
          <w:tcPr>
            <w:tcW w:w="5580" w:type="dxa"/>
            <w:gridSpan w:val="3"/>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收     入</w:t>
            </w:r>
          </w:p>
        </w:tc>
        <w:tc>
          <w:tcPr>
            <w:tcW w:w="8820" w:type="dxa"/>
            <w:gridSpan w:val="5"/>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支     出</w:t>
            </w:r>
          </w:p>
        </w:tc>
      </w:tr>
      <w:tr>
        <w:tblPrEx>
          <w:tblLayout w:type="fixed"/>
          <w:tblCellMar>
            <w:top w:w="0" w:type="dxa"/>
            <w:left w:w="108" w:type="dxa"/>
            <w:bottom w:w="0" w:type="dxa"/>
            <w:right w:w="108" w:type="dxa"/>
          </w:tblCellMar>
        </w:tblPrEx>
        <w:trPr>
          <w:trHeight w:val="340" w:hRule="atLeast"/>
        </w:trPr>
        <w:tc>
          <w:tcPr>
            <w:tcW w:w="3220" w:type="dxa"/>
            <w:vMerge w:val="restart"/>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项目</w:t>
            </w:r>
          </w:p>
        </w:tc>
        <w:tc>
          <w:tcPr>
            <w:tcW w:w="60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行次</w:t>
            </w:r>
          </w:p>
        </w:tc>
        <w:tc>
          <w:tcPr>
            <w:tcW w:w="176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金额</w:t>
            </w:r>
          </w:p>
        </w:tc>
        <w:tc>
          <w:tcPr>
            <w:tcW w:w="318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项目</w:t>
            </w:r>
          </w:p>
        </w:tc>
        <w:tc>
          <w:tcPr>
            <w:tcW w:w="60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行次</w:t>
            </w:r>
          </w:p>
        </w:tc>
        <w:tc>
          <w:tcPr>
            <w:tcW w:w="176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合计</w:t>
            </w:r>
          </w:p>
        </w:tc>
        <w:tc>
          <w:tcPr>
            <w:tcW w:w="176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一般公共预算财政拨款</w:t>
            </w:r>
          </w:p>
        </w:tc>
        <w:tc>
          <w:tcPr>
            <w:tcW w:w="152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政府性基金预算财政拨款</w:t>
            </w:r>
          </w:p>
        </w:tc>
      </w:tr>
      <w:tr>
        <w:tblPrEx>
          <w:tblLayout w:type="fixed"/>
          <w:tblCellMar>
            <w:top w:w="0" w:type="dxa"/>
            <w:left w:w="108" w:type="dxa"/>
            <w:bottom w:w="0" w:type="dxa"/>
            <w:right w:w="108" w:type="dxa"/>
          </w:tblCellMar>
        </w:tblPrEx>
        <w:trPr>
          <w:trHeight w:val="340" w:hRule="atLeast"/>
        </w:trPr>
        <w:tc>
          <w:tcPr>
            <w:tcW w:w="3220"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60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6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318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60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6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6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52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栏次</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　</w:t>
            </w:r>
          </w:p>
        </w:tc>
        <w:tc>
          <w:tcPr>
            <w:tcW w:w="176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w:t>
            </w:r>
          </w:p>
        </w:tc>
        <w:tc>
          <w:tcPr>
            <w:tcW w:w="318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栏次</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　</w:t>
            </w:r>
          </w:p>
        </w:tc>
        <w:tc>
          <w:tcPr>
            <w:tcW w:w="176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w:t>
            </w:r>
          </w:p>
        </w:tc>
        <w:tc>
          <w:tcPr>
            <w:tcW w:w="176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w:t>
            </w:r>
          </w:p>
        </w:tc>
        <w:tc>
          <w:tcPr>
            <w:tcW w:w="152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一、一般公共预算财政拨款</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1,924,220.00</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一、一般公共服务支出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28</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1,695,620.00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1,695,620.00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二、政府性基金预算财政拨款</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二、外交支出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29</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三、国防支出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四、公共安全支出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31</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五、教育支出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32</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6</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六、科学技术支出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33</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7</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七、文化体育与传媒支出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34</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8</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八、社会保障和就业支出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35</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114,200.00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114,200.00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9</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九、医疗卫生与计划生育支出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36</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59,800.00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59,800.00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十、节能环保支出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37</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11</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十一、城乡社区支出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38</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12</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十二、农林水支出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39</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13</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十三、交通运输支出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14</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十四、资源勘探信息等支出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41</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15</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十五、商业服务业等支出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42</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16</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十六、金融支出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43</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17</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十七、援助其他地区支出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44</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18</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十八、国土海洋气象等支出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45</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19</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十九、住房保障支出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46</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54,600.00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54,600.00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二十、粮油物资储备支出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47</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21</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二十一、其他支出</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48</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b/>
                <w:bCs/>
                <w:color w:val="000000"/>
                <w:kern w:val="0"/>
                <w:sz w:val="22"/>
                <w:szCs w:val="22"/>
              </w:rPr>
            </w:pPr>
            <w:r>
              <w:rPr>
                <w:rFonts w:hint="eastAsia" w:ascii="宋体" w:hAnsi="宋体" w:cs="Arial"/>
                <w:b/>
                <w:bCs/>
                <w:color w:val="000000"/>
                <w:kern w:val="0"/>
                <w:sz w:val="22"/>
                <w:szCs w:val="22"/>
              </w:rPr>
              <w:t>本年收入合计</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22</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1,924,220.00</w:t>
            </w:r>
          </w:p>
        </w:tc>
        <w:tc>
          <w:tcPr>
            <w:tcW w:w="318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b/>
                <w:bCs/>
                <w:color w:val="000000"/>
                <w:kern w:val="0"/>
                <w:sz w:val="22"/>
                <w:szCs w:val="22"/>
              </w:rPr>
            </w:pPr>
            <w:r>
              <w:rPr>
                <w:rFonts w:hint="eastAsia" w:ascii="宋体" w:hAnsi="宋体" w:cs="Arial"/>
                <w:b/>
                <w:bCs/>
                <w:color w:val="000000"/>
                <w:kern w:val="0"/>
                <w:sz w:val="22"/>
                <w:szCs w:val="22"/>
              </w:rPr>
              <w:t>本年支出合计</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49</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1,924,220.00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1,924,220.00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年初财政拨款结转和结余</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23</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年末财政拨款结转和结余</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一般公共预算财政拨款</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24</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51</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政府性基金预算财政拨款</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25</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52</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26</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31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53</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260" w:hRule="atLeast"/>
        </w:trPr>
        <w:tc>
          <w:tcPr>
            <w:tcW w:w="3220" w:type="dxa"/>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b/>
                <w:bCs/>
                <w:color w:val="000000"/>
                <w:kern w:val="0"/>
                <w:sz w:val="22"/>
                <w:szCs w:val="22"/>
              </w:rPr>
            </w:pPr>
            <w:r>
              <w:rPr>
                <w:rFonts w:hint="eastAsia" w:ascii="宋体" w:hAnsi="宋体" w:cs="Arial"/>
                <w:b/>
                <w:bCs/>
                <w:color w:val="000000"/>
                <w:kern w:val="0"/>
                <w:sz w:val="22"/>
                <w:szCs w:val="22"/>
              </w:rPr>
              <w:t>总计</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27</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1,924,220.00</w:t>
            </w:r>
          </w:p>
        </w:tc>
        <w:tc>
          <w:tcPr>
            <w:tcW w:w="318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b/>
                <w:bCs/>
                <w:color w:val="000000"/>
                <w:kern w:val="0"/>
                <w:sz w:val="22"/>
                <w:szCs w:val="22"/>
              </w:rPr>
            </w:pPr>
            <w:r>
              <w:rPr>
                <w:rFonts w:hint="eastAsia" w:ascii="宋体" w:hAnsi="宋体" w:cs="Arial"/>
                <w:b/>
                <w:bCs/>
                <w:color w:val="000000"/>
                <w:kern w:val="0"/>
                <w:sz w:val="22"/>
                <w:szCs w:val="22"/>
              </w:rPr>
              <w:t>总计</w:t>
            </w:r>
          </w:p>
        </w:tc>
        <w:tc>
          <w:tcPr>
            <w:tcW w:w="600"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54</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1,924,220.00</w:t>
            </w:r>
          </w:p>
        </w:tc>
        <w:tc>
          <w:tcPr>
            <w:tcW w:w="176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1,924,220.00</w:t>
            </w:r>
          </w:p>
        </w:tc>
        <w:tc>
          <w:tcPr>
            <w:tcW w:w="152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60" w:hRule="atLeast"/>
        </w:trPr>
        <w:tc>
          <w:tcPr>
            <w:tcW w:w="14400" w:type="dxa"/>
            <w:gridSpan w:val="8"/>
            <w:tcBorders>
              <w:top w:val="nil"/>
              <w:left w:val="nil"/>
              <w:bottom w:val="nil"/>
              <w:right w:val="nil"/>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注：本表反映部门本年度一般公共预算财政拨款和政府性基金预算财政拨款的总收支和年末结转结余情况。</w:t>
            </w:r>
          </w:p>
        </w:tc>
      </w:tr>
    </w:tbl>
    <w:p>
      <w:pPr>
        <w:jc w:val="left"/>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tbl>
      <w:tblPr>
        <w:tblStyle w:val="5"/>
        <w:tblW w:w="26552" w:type="dxa"/>
        <w:tblInd w:w="108" w:type="dxa"/>
        <w:tblLayout w:type="fixed"/>
        <w:tblCellMar>
          <w:top w:w="0" w:type="dxa"/>
          <w:left w:w="108" w:type="dxa"/>
          <w:bottom w:w="0" w:type="dxa"/>
          <w:right w:w="108" w:type="dxa"/>
        </w:tblCellMar>
      </w:tblPr>
      <w:tblGrid>
        <w:gridCol w:w="9885"/>
        <w:gridCol w:w="2921"/>
        <w:gridCol w:w="1020"/>
        <w:gridCol w:w="1220"/>
        <w:gridCol w:w="830"/>
        <w:gridCol w:w="270"/>
        <w:gridCol w:w="1100"/>
        <w:gridCol w:w="166"/>
        <w:gridCol w:w="880"/>
        <w:gridCol w:w="34"/>
        <w:gridCol w:w="1000"/>
        <w:gridCol w:w="1180"/>
        <w:gridCol w:w="26"/>
        <w:gridCol w:w="734"/>
        <w:gridCol w:w="506"/>
        <w:gridCol w:w="574"/>
        <w:gridCol w:w="306"/>
        <w:gridCol w:w="554"/>
        <w:gridCol w:w="1230"/>
        <w:gridCol w:w="886"/>
        <w:gridCol w:w="1230"/>
      </w:tblGrid>
      <w:tr>
        <w:tblPrEx>
          <w:tblLayout w:type="fixed"/>
          <w:tblCellMar>
            <w:top w:w="0" w:type="dxa"/>
            <w:left w:w="108" w:type="dxa"/>
            <w:bottom w:w="0" w:type="dxa"/>
            <w:right w:w="108" w:type="dxa"/>
          </w:tblCellMar>
        </w:tblPrEx>
        <w:trPr>
          <w:trHeight w:val="370" w:hRule="atLeast"/>
        </w:trPr>
        <w:tc>
          <w:tcPr>
            <w:tcW w:w="9885" w:type="dxa"/>
            <w:tcBorders>
              <w:top w:val="nil"/>
              <w:left w:val="nil"/>
              <w:bottom w:val="nil"/>
              <w:right w:val="nil"/>
            </w:tcBorders>
            <w:shd w:val="clear" w:color="auto" w:fill="auto"/>
            <w:vAlign w:val="bottom"/>
          </w:tcPr>
          <w:p>
            <w:pPr>
              <w:widowControl/>
              <w:jc w:val="left"/>
              <w:rPr>
                <w:rFonts w:ascii="Times New Roman" w:hAnsi="Times New Roman" w:cs="宋体"/>
                <w:kern w:val="0"/>
                <w:sz w:val="20"/>
                <w:szCs w:val="20"/>
              </w:rPr>
            </w:pPr>
          </w:p>
        </w:tc>
        <w:tc>
          <w:tcPr>
            <w:tcW w:w="5991" w:type="dxa"/>
            <w:gridSpan w:val="4"/>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536" w:type="dxa"/>
            <w:gridSpan w:val="3"/>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88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2240" w:type="dxa"/>
            <w:gridSpan w:val="4"/>
            <w:tcBorders>
              <w:top w:val="nil"/>
              <w:left w:val="nil"/>
              <w:bottom w:val="nil"/>
              <w:right w:val="nil"/>
            </w:tcBorders>
            <w:shd w:val="clear" w:color="auto" w:fill="auto"/>
            <w:vAlign w:val="bottom"/>
          </w:tcPr>
          <w:p/>
        </w:tc>
        <w:tc>
          <w:tcPr>
            <w:tcW w:w="1240" w:type="dxa"/>
            <w:gridSpan w:val="2"/>
            <w:tcBorders>
              <w:top w:val="nil"/>
              <w:left w:val="nil"/>
              <w:bottom w:val="nil"/>
              <w:right w:val="nil"/>
            </w:tcBorders>
            <w:shd w:val="clear" w:color="auto" w:fill="auto"/>
            <w:vAlign w:val="bottom"/>
          </w:tcPr>
          <w:p/>
        </w:tc>
        <w:tc>
          <w:tcPr>
            <w:tcW w:w="880"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2670" w:type="dxa"/>
            <w:gridSpan w:val="3"/>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23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r>
      <w:tr>
        <w:tblPrEx>
          <w:tblLayout w:type="fixed"/>
          <w:tblCellMar>
            <w:top w:w="0" w:type="dxa"/>
            <w:left w:w="108" w:type="dxa"/>
            <w:bottom w:w="0" w:type="dxa"/>
            <w:right w:w="108" w:type="dxa"/>
          </w:tblCellMar>
        </w:tblPrEx>
        <w:trPr>
          <w:gridAfter w:val="2"/>
          <w:wAfter w:w="2116" w:type="dxa"/>
          <w:trHeight w:val="550" w:hRule="atLeast"/>
        </w:trPr>
        <w:tc>
          <w:tcPr>
            <w:tcW w:w="12806" w:type="dxa"/>
            <w:gridSpan w:val="2"/>
            <w:tcBorders>
              <w:top w:val="nil"/>
              <w:left w:val="nil"/>
              <w:bottom w:val="nil"/>
              <w:right w:val="nil"/>
            </w:tcBorders>
            <w:shd w:val="clear" w:color="auto" w:fill="auto"/>
            <w:vAlign w:val="bottom"/>
          </w:tcPr>
          <w:tbl>
            <w:tblPr>
              <w:tblStyle w:val="5"/>
              <w:tblW w:w="12589" w:type="dxa"/>
              <w:tblInd w:w="0" w:type="dxa"/>
              <w:tblLayout w:type="fixed"/>
              <w:tblCellMar>
                <w:top w:w="0" w:type="dxa"/>
                <w:left w:w="108" w:type="dxa"/>
                <w:bottom w:w="0" w:type="dxa"/>
                <w:right w:w="108" w:type="dxa"/>
              </w:tblCellMar>
            </w:tblPr>
            <w:tblGrid>
              <w:gridCol w:w="747"/>
              <w:gridCol w:w="747"/>
              <w:gridCol w:w="747"/>
              <w:gridCol w:w="5234"/>
              <w:gridCol w:w="1755"/>
              <w:gridCol w:w="1753"/>
              <w:gridCol w:w="1606"/>
            </w:tblGrid>
            <w:tr>
              <w:tblPrEx>
                <w:tblLayout w:type="fixed"/>
                <w:tblCellMar>
                  <w:top w:w="0" w:type="dxa"/>
                  <w:left w:w="108" w:type="dxa"/>
                  <w:bottom w:w="0" w:type="dxa"/>
                  <w:right w:w="108" w:type="dxa"/>
                </w:tblCellMar>
              </w:tblPrEx>
              <w:trPr>
                <w:trHeight w:val="370" w:hRule="atLeast"/>
              </w:trPr>
              <w:tc>
                <w:tcPr>
                  <w:tcW w:w="12589" w:type="dxa"/>
                  <w:gridSpan w:val="7"/>
                  <w:tcBorders>
                    <w:top w:val="nil"/>
                    <w:left w:val="nil"/>
                    <w:bottom w:val="nil"/>
                    <w:right w:val="nil"/>
                  </w:tcBorders>
                  <w:shd w:val="clear" w:color="auto" w:fill="auto"/>
                  <w:vAlign w:val="bottom"/>
                </w:tcPr>
                <w:p>
                  <w:pPr>
                    <w:widowControl/>
                    <w:jc w:val="center"/>
                    <w:rPr>
                      <w:rFonts w:ascii="Times New Roman" w:hAnsi="Times New Roman" w:eastAsia="Times New Roman"/>
                      <w:kern w:val="0"/>
                      <w:sz w:val="20"/>
                      <w:szCs w:val="20"/>
                    </w:rPr>
                  </w:pPr>
                  <w:r>
                    <w:rPr>
                      <w:rFonts w:hint="eastAsia" w:ascii="宋体" w:hAnsi="宋体" w:cs="Arial"/>
                      <w:color w:val="000000"/>
                      <w:sz w:val="30"/>
                      <w:szCs w:val="30"/>
                      <w:lang w:val="en-US" w:eastAsia="zh-CN"/>
                    </w:rPr>
                    <w:t xml:space="preserve"> </w:t>
                  </w:r>
                  <w:r>
                    <w:rPr>
                      <w:rFonts w:hint="eastAsia" w:ascii="宋体" w:hAnsi="宋体" w:cs="Arial"/>
                      <w:color w:val="000000"/>
                      <w:sz w:val="30"/>
                      <w:szCs w:val="30"/>
                    </w:rPr>
                    <w:t>一般公共预算财政拨款支出决算表</w:t>
                  </w:r>
                </w:p>
              </w:tc>
            </w:tr>
            <w:tr>
              <w:tblPrEx>
                <w:tblLayout w:type="fixed"/>
                <w:tblCellMar>
                  <w:top w:w="0" w:type="dxa"/>
                  <w:left w:w="108" w:type="dxa"/>
                  <w:bottom w:w="0" w:type="dxa"/>
                  <w:right w:w="108" w:type="dxa"/>
                </w:tblCellMar>
              </w:tblPrEx>
              <w:trPr>
                <w:trHeight w:val="260" w:hRule="atLeast"/>
              </w:trPr>
              <w:tc>
                <w:tcPr>
                  <w:tcW w:w="747"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747"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747"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5234" w:type="dxa"/>
                  <w:tcBorders>
                    <w:top w:val="nil"/>
                    <w:left w:val="nil"/>
                    <w:bottom w:val="nil"/>
                    <w:right w:val="nil"/>
                  </w:tcBorders>
                  <w:shd w:val="clear" w:color="auto" w:fill="auto"/>
                  <w:vAlign w:val="bottom"/>
                </w:tcPr>
                <w:p>
                  <w:pPr>
                    <w:widowControl/>
                    <w:jc w:val="center"/>
                    <w:rPr>
                      <w:rFonts w:ascii="Times New Roman" w:hAnsi="Times New Roman" w:eastAsia="Times New Roman"/>
                      <w:kern w:val="0"/>
                      <w:sz w:val="20"/>
                      <w:szCs w:val="20"/>
                    </w:rPr>
                  </w:pPr>
                </w:p>
              </w:tc>
              <w:tc>
                <w:tcPr>
                  <w:tcW w:w="1755" w:type="dxa"/>
                  <w:tcBorders>
                    <w:top w:val="nil"/>
                    <w:left w:val="nil"/>
                    <w:bottom w:val="nil"/>
                    <w:right w:val="nil"/>
                  </w:tcBorders>
                  <w:shd w:val="clear" w:color="auto" w:fill="auto"/>
                  <w:vAlign w:val="bottom"/>
                </w:tcPr>
                <w:p>
                  <w:pPr>
                    <w:widowControl/>
                    <w:jc w:val="center"/>
                    <w:rPr>
                      <w:rFonts w:ascii="Times New Roman" w:hAnsi="Times New Roman" w:eastAsia="Times New Roman"/>
                      <w:kern w:val="0"/>
                      <w:sz w:val="20"/>
                      <w:szCs w:val="20"/>
                    </w:rPr>
                  </w:pPr>
                </w:p>
              </w:tc>
              <w:tc>
                <w:tcPr>
                  <w:tcW w:w="1753"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606" w:type="dxa"/>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公开05表</w:t>
                  </w:r>
                </w:p>
              </w:tc>
            </w:tr>
            <w:tr>
              <w:tblPrEx>
                <w:tblLayout w:type="fixed"/>
                <w:tblCellMar>
                  <w:top w:w="0" w:type="dxa"/>
                  <w:left w:w="108" w:type="dxa"/>
                  <w:bottom w:w="0" w:type="dxa"/>
                  <w:right w:w="108" w:type="dxa"/>
                </w:tblCellMar>
              </w:tblPrEx>
              <w:trPr>
                <w:trHeight w:val="260" w:hRule="atLeast"/>
              </w:trPr>
              <w:tc>
                <w:tcPr>
                  <w:tcW w:w="7475" w:type="dxa"/>
                  <w:gridSpan w:val="4"/>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部门：河南省周口市项城市地方史志编纂办公室</w:t>
                  </w:r>
                </w:p>
              </w:tc>
              <w:tc>
                <w:tcPr>
                  <w:tcW w:w="1755" w:type="dxa"/>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p>
              </w:tc>
              <w:tc>
                <w:tcPr>
                  <w:tcW w:w="1753"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606" w:type="dxa"/>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金额单位：元</w:t>
                  </w:r>
                </w:p>
              </w:tc>
            </w:tr>
            <w:tr>
              <w:tblPrEx>
                <w:tblLayout w:type="fixed"/>
                <w:tblCellMar>
                  <w:top w:w="0" w:type="dxa"/>
                  <w:left w:w="108" w:type="dxa"/>
                  <w:bottom w:w="0" w:type="dxa"/>
                  <w:right w:w="108" w:type="dxa"/>
                </w:tblCellMar>
              </w:tblPrEx>
              <w:trPr>
                <w:trHeight w:val="308" w:hRule="atLeast"/>
              </w:trPr>
              <w:tc>
                <w:tcPr>
                  <w:tcW w:w="7475" w:type="dxa"/>
                  <w:gridSpan w:val="4"/>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项目</w:t>
                  </w:r>
                </w:p>
              </w:tc>
              <w:tc>
                <w:tcPr>
                  <w:tcW w:w="5114" w:type="dxa"/>
                  <w:gridSpan w:val="3"/>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本年支出</w:t>
                  </w:r>
                </w:p>
              </w:tc>
            </w:tr>
            <w:tr>
              <w:tblPrEx>
                <w:tblLayout w:type="fixed"/>
                <w:tblCellMar>
                  <w:top w:w="0" w:type="dxa"/>
                  <w:left w:w="108" w:type="dxa"/>
                  <w:bottom w:w="0" w:type="dxa"/>
                  <w:right w:w="108" w:type="dxa"/>
                </w:tblCellMar>
              </w:tblPrEx>
              <w:trPr>
                <w:trHeight w:val="340" w:hRule="atLeast"/>
              </w:trPr>
              <w:tc>
                <w:tcPr>
                  <w:tcW w:w="2241"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功能分类科目编码</w:t>
                  </w:r>
                </w:p>
              </w:tc>
              <w:tc>
                <w:tcPr>
                  <w:tcW w:w="5234"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科目名称</w:t>
                  </w:r>
                </w:p>
              </w:tc>
              <w:tc>
                <w:tcPr>
                  <w:tcW w:w="1755"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小计</w:t>
                  </w:r>
                </w:p>
              </w:tc>
              <w:tc>
                <w:tcPr>
                  <w:tcW w:w="1753"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基本支出</w:t>
                  </w:r>
                </w:p>
              </w:tc>
              <w:tc>
                <w:tcPr>
                  <w:tcW w:w="1606"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项目支出</w:t>
                  </w:r>
                </w:p>
              </w:tc>
            </w:tr>
            <w:tr>
              <w:tblPrEx>
                <w:tblLayout w:type="fixed"/>
                <w:tblCellMar>
                  <w:top w:w="0" w:type="dxa"/>
                  <w:left w:w="108" w:type="dxa"/>
                  <w:bottom w:w="0" w:type="dxa"/>
                  <w:right w:w="108" w:type="dxa"/>
                </w:tblCellMar>
              </w:tblPrEx>
              <w:trPr>
                <w:trHeight w:val="340" w:hRule="atLeast"/>
              </w:trPr>
              <w:tc>
                <w:tcPr>
                  <w:tcW w:w="2241"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234"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55"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53"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606"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40" w:hRule="atLeast"/>
              </w:trPr>
              <w:tc>
                <w:tcPr>
                  <w:tcW w:w="2241"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5234"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55"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53"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606"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08" w:hRule="atLeast"/>
              </w:trPr>
              <w:tc>
                <w:tcPr>
                  <w:tcW w:w="7475" w:type="dxa"/>
                  <w:gridSpan w:val="4"/>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栏次</w:t>
                  </w:r>
                </w:p>
              </w:tc>
              <w:tc>
                <w:tcPr>
                  <w:tcW w:w="1755"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w:t>
                  </w:r>
                </w:p>
              </w:tc>
              <w:tc>
                <w:tcPr>
                  <w:tcW w:w="1753"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w:t>
                  </w:r>
                </w:p>
              </w:tc>
              <w:tc>
                <w:tcPr>
                  <w:tcW w:w="1606"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w:t>
                  </w:r>
                </w:p>
              </w:tc>
            </w:tr>
            <w:tr>
              <w:tblPrEx>
                <w:tblLayout w:type="fixed"/>
                <w:tblCellMar>
                  <w:top w:w="0" w:type="dxa"/>
                  <w:left w:w="108" w:type="dxa"/>
                  <w:bottom w:w="0" w:type="dxa"/>
                  <w:right w:w="108" w:type="dxa"/>
                </w:tblCellMar>
              </w:tblPrEx>
              <w:trPr>
                <w:trHeight w:val="308" w:hRule="atLeast"/>
              </w:trPr>
              <w:tc>
                <w:tcPr>
                  <w:tcW w:w="7475" w:type="dxa"/>
                  <w:gridSpan w:val="4"/>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合计</w:t>
                  </w:r>
                </w:p>
              </w:tc>
              <w:tc>
                <w:tcPr>
                  <w:tcW w:w="1755"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szCs w:val="22"/>
                    </w:rPr>
                  </w:pPr>
                  <w:r>
                    <w:rPr>
                      <w:rFonts w:hint="eastAsia" w:ascii="宋体" w:hAnsi="宋体" w:cs="Arial"/>
                      <w:b/>
                      <w:bCs/>
                      <w:color w:val="000000"/>
                      <w:kern w:val="0"/>
                      <w:sz w:val="22"/>
                      <w:szCs w:val="22"/>
                    </w:rPr>
                    <w:t>1,924,220.00</w:t>
                  </w:r>
                </w:p>
              </w:tc>
              <w:tc>
                <w:tcPr>
                  <w:tcW w:w="175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szCs w:val="22"/>
                    </w:rPr>
                  </w:pPr>
                  <w:r>
                    <w:rPr>
                      <w:rFonts w:hint="eastAsia" w:ascii="宋体" w:hAnsi="宋体" w:cs="Arial"/>
                      <w:b/>
                      <w:bCs/>
                      <w:color w:val="000000"/>
                      <w:kern w:val="0"/>
                      <w:sz w:val="22"/>
                      <w:szCs w:val="22"/>
                    </w:rPr>
                    <w:t>1,160,220.00</w:t>
                  </w:r>
                </w:p>
              </w:tc>
              <w:tc>
                <w:tcPr>
                  <w:tcW w:w="160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szCs w:val="22"/>
                    </w:rPr>
                  </w:pPr>
                  <w:r>
                    <w:rPr>
                      <w:rFonts w:hint="eastAsia" w:ascii="宋体" w:hAnsi="宋体" w:cs="Arial"/>
                      <w:b/>
                      <w:bCs/>
                      <w:color w:val="000000"/>
                      <w:kern w:val="0"/>
                      <w:sz w:val="22"/>
                      <w:szCs w:val="22"/>
                    </w:rPr>
                    <w:t>764,000.00</w:t>
                  </w:r>
                </w:p>
              </w:tc>
            </w:tr>
            <w:tr>
              <w:tblPrEx>
                <w:tblLayout w:type="fixed"/>
                <w:tblCellMar>
                  <w:top w:w="0" w:type="dxa"/>
                  <w:left w:w="108" w:type="dxa"/>
                  <w:bottom w:w="0" w:type="dxa"/>
                  <w:right w:w="108" w:type="dxa"/>
                </w:tblCellMar>
              </w:tblPrEx>
              <w:trPr>
                <w:trHeight w:val="308" w:hRule="atLeast"/>
              </w:trPr>
              <w:tc>
                <w:tcPr>
                  <w:tcW w:w="2241"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w:t>
                  </w:r>
                </w:p>
              </w:tc>
              <w:tc>
                <w:tcPr>
                  <w:tcW w:w="5234"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一般公共服务支出</w:t>
                  </w:r>
                </w:p>
              </w:tc>
              <w:tc>
                <w:tcPr>
                  <w:tcW w:w="1755"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1,695,620.00</w:t>
                  </w:r>
                </w:p>
              </w:tc>
              <w:tc>
                <w:tcPr>
                  <w:tcW w:w="175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931,620.00</w:t>
                  </w:r>
                </w:p>
              </w:tc>
              <w:tc>
                <w:tcPr>
                  <w:tcW w:w="160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764,000.00</w:t>
                  </w:r>
                </w:p>
              </w:tc>
            </w:tr>
            <w:tr>
              <w:tblPrEx>
                <w:tblLayout w:type="fixed"/>
                <w:tblCellMar>
                  <w:top w:w="0" w:type="dxa"/>
                  <w:left w:w="108" w:type="dxa"/>
                  <w:bottom w:w="0" w:type="dxa"/>
                  <w:right w:w="108" w:type="dxa"/>
                </w:tblCellMar>
              </w:tblPrEx>
              <w:trPr>
                <w:trHeight w:val="308" w:hRule="atLeast"/>
              </w:trPr>
              <w:tc>
                <w:tcPr>
                  <w:tcW w:w="2241"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20103</w:t>
                  </w:r>
                </w:p>
              </w:tc>
              <w:tc>
                <w:tcPr>
                  <w:tcW w:w="5234"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政府办公厅（室）及相关机构事务</w:t>
                  </w:r>
                </w:p>
              </w:tc>
              <w:tc>
                <w:tcPr>
                  <w:tcW w:w="1755"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1,695,620.00</w:t>
                  </w:r>
                </w:p>
              </w:tc>
              <w:tc>
                <w:tcPr>
                  <w:tcW w:w="175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931,620.00</w:t>
                  </w:r>
                </w:p>
              </w:tc>
              <w:tc>
                <w:tcPr>
                  <w:tcW w:w="160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764,000.00</w:t>
                  </w:r>
                </w:p>
              </w:tc>
            </w:tr>
            <w:tr>
              <w:tblPrEx>
                <w:tblLayout w:type="fixed"/>
                <w:tblCellMar>
                  <w:top w:w="0" w:type="dxa"/>
                  <w:left w:w="108" w:type="dxa"/>
                  <w:bottom w:w="0" w:type="dxa"/>
                  <w:right w:w="108" w:type="dxa"/>
                </w:tblCellMar>
              </w:tblPrEx>
              <w:trPr>
                <w:trHeight w:val="308" w:hRule="atLeast"/>
              </w:trPr>
              <w:tc>
                <w:tcPr>
                  <w:tcW w:w="2241"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2010350</w:t>
                  </w:r>
                </w:p>
              </w:tc>
              <w:tc>
                <w:tcPr>
                  <w:tcW w:w="5234"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事业运行</w:t>
                  </w:r>
                </w:p>
              </w:tc>
              <w:tc>
                <w:tcPr>
                  <w:tcW w:w="1755"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931,620.00</w:t>
                  </w:r>
                </w:p>
              </w:tc>
              <w:tc>
                <w:tcPr>
                  <w:tcW w:w="175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931,620.00</w:t>
                  </w:r>
                </w:p>
              </w:tc>
              <w:tc>
                <w:tcPr>
                  <w:tcW w:w="160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241"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2010399</w:t>
                  </w:r>
                </w:p>
              </w:tc>
              <w:tc>
                <w:tcPr>
                  <w:tcW w:w="5234"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其他政府办公厅（室）及相关机构事务支出</w:t>
                  </w:r>
                </w:p>
              </w:tc>
              <w:tc>
                <w:tcPr>
                  <w:tcW w:w="1755"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764,000.00</w:t>
                  </w:r>
                </w:p>
              </w:tc>
              <w:tc>
                <w:tcPr>
                  <w:tcW w:w="175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60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764,000.00</w:t>
                  </w:r>
                </w:p>
              </w:tc>
            </w:tr>
            <w:tr>
              <w:tblPrEx>
                <w:tblLayout w:type="fixed"/>
                <w:tblCellMar>
                  <w:top w:w="0" w:type="dxa"/>
                  <w:left w:w="108" w:type="dxa"/>
                  <w:bottom w:w="0" w:type="dxa"/>
                  <w:right w:w="108" w:type="dxa"/>
                </w:tblCellMar>
              </w:tblPrEx>
              <w:trPr>
                <w:trHeight w:val="308" w:hRule="atLeast"/>
              </w:trPr>
              <w:tc>
                <w:tcPr>
                  <w:tcW w:w="2241"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w:t>
                  </w:r>
                </w:p>
              </w:tc>
              <w:tc>
                <w:tcPr>
                  <w:tcW w:w="5234"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社会保障和就业支出</w:t>
                  </w:r>
                </w:p>
              </w:tc>
              <w:tc>
                <w:tcPr>
                  <w:tcW w:w="1755"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114,200.00</w:t>
                  </w:r>
                </w:p>
              </w:tc>
              <w:tc>
                <w:tcPr>
                  <w:tcW w:w="175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114,200.00</w:t>
                  </w:r>
                </w:p>
              </w:tc>
              <w:tc>
                <w:tcPr>
                  <w:tcW w:w="160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241"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20805</w:t>
                  </w:r>
                </w:p>
              </w:tc>
              <w:tc>
                <w:tcPr>
                  <w:tcW w:w="5234"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行政事业单位离退休</w:t>
                  </w:r>
                </w:p>
              </w:tc>
              <w:tc>
                <w:tcPr>
                  <w:tcW w:w="1755"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109,300.00</w:t>
                  </w:r>
                </w:p>
              </w:tc>
              <w:tc>
                <w:tcPr>
                  <w:tcW w:w="175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109,300.00</w:t>
                  </w:r>
                </w:p>
              </w:tc>
              <w:tc>
                <w:tcPr>
                  <w:tcW w:w="160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241"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2080505</w:t>
                  </w:r>
                </w:p>
              </w:tc>
              <w:tc>
                <w:tcPr>
                  <w:tcW w:w="5234"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机关事业单位基本养老保险缴费支出</w:t>
                  </w:r>
                </w:p>
              </w:tc>
              <w:tc>
                <w:tcPr>
                  <w:tcW w:w="1755"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109,300.00</w:t>
                  </w:r>
                </w:p>
              </w:tc>
              <w:tc>
                <w:tcPr>
                  <w:tcW w:w="175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109,300.00</w:t>
                  </w:r>
                </w:p>
              </w:tc>
              <w:tc>
                <w:tcPr>
                  <w:tcW w:w="160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241"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20899</w:t>
                  </w:r>
                </w:p>
              </w:tc>
              <w:tc>
                <w:tcPr>
                  <w:tcW w:w="5234"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其他社会保障和就业支出</w:t>
                  </w:r>
                </w:p>
              </w:tc>
              <w:tc>
                <w:tcPr>
                  <w:tcW w:w="1755"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4,900.00</w:t>
                  </w:r>
                </w:p>
              </w:tc>
              <w:tc>
                <w:tcPr>
                  <w:tcW w:w="175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4,900.00</w:t>
                  </w:r>
                </w:p>
              </w:tc>
              <w:tc>
                <w:tcPr>
                  <w:tcW w:w="160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241"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2089901</w:t>
                  </w:r>
                </w:p>
              </w:tc>
              <w:tc>
                <w:tcPr>
                  <w:tcW w:w="5234"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其他社会保障和就业支出</w:t>
                  </w:r>
                </w:p>
              </w:tc>
              <w:tc>
                <w:tcPr>
                  <w:tcW w:w="1755"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4,900.00</w:t>
                  </w:r>
                </w:p>
              </w:tc>
              <w:tc>
                <w:tcPr>
                  <w:tcW w:w="175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4,900.00</w:t>
                  </w:r>
                </w:p>
              </w:tc>
              <w:tc>
                <w:tcPr>
                  <w:tcW w:w="160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241"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w:t>
                  </w:r>
                </w:p>
              </w:tc>
              <w:tc>
                <w:tcPr>
                  <w:tcW w:w="5234"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医疗卫生与计划生育支出</w:t>
                  </w:r>
                </w:p>
              </w:tc>
              <w:tc>
                <w:tcPr>
                  <w:tcW w:w="1755"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59,800.00</w:t>
                  </w:r>
                </w:p>
              </w:tc>
              <w:tc>
                <w:tcPr>
                  <w:tcW w:w="175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59,800.00</w:t>
                  </w:r>
                </w:p>
              </w:tc>
              <w:tc>
                <w:tcPr>
                  <w:tcW w:w="160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241"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21011</w:t>
                  </w:r>
                </w:p>
              </w:tc>
              <w:tc>
                <w:tcPr>
                  <w:tcW w:w="5234"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行政事业单位医疗</w:t>
                  </w:r>
                </w:p>
              </w:tc>
              <w:tc>
                <w:tcPr>
                  <w:tcW w:w="1755"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59,800.00</w:t>
                  </w:r>
                </w:p>
              </w:tc>
              <w:tc>
                <w:tcPr>
                  <w:tcW w:w="175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59,800.00</w:t>
                  </w:r>
                </w:p>
              </w:tc>
              <w:tc>
                <w:tcPr>
                  <w:tcW w:w="160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241"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2101101</w:t>
                  </w:r>
                </w:p>
              </w:tc>
              <w:tc>
                <w:tcPr>
                  <w:tcW w:w="5234"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行政单位医疗</w:t>
                  </w:r>
                </w:p>
              </w:tc>
              <w:tc>
                <w:tcPr>
                  <w:tcW w:w="1755"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58,200.00</w:t>
                  </w:r>
                </w:p>
              </w:tc>
              <w:tc>
                <w:tcPr>
                  <w:tcW w:w="175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58,200.00</w:t>
                  </w:r>
                </w:p>
              </w:tc>
              <w:tc>
                <w:tcPr>
                  <w:tcW w:w="160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241"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2101199</w:t>
                  </w:r>
                </w:p>
              </w:tc>
              <w:tc>
                <w:tcPr>
                  <w:tcW w:w="5234"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其他行政事业单位医疗支出</w:t>
                  </w:r>
                </w:p>
              </w:tc>
              <w:tc>
                <w:tcPr>
                  <w:tcW w:w="1755"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1,600.00</w:t>
                  </w:r>
                </w:p>
              </w:tc>
              <w:tc>
                <w:tcPr>
                  <w:tcW w:w="175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1,600.00</w:t>
                  </w:r>
                </w:p>
              </w:tc>
              <w:tc>
                <w:tcPr>
                  <w:tcW w:w="160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241"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221</w:t>
                  </w:r>
                </w:p>
              </w:tc>
              <w:tc>
                <w:tcPr>
                  <w:tcW w:w="5234"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住房保障支出</w:t>
                  </w:r>
                </w:p>
              </w:tc>
              <w:tc>
                <w:tcPr>
                  <w:tcW w:w="1755"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54,600.00</w:t>
                  </w:r>
                </w:p>
              </w:tc>
              <w:tc>
                <w:tcPr>
                  <w:tcW w:w="175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54,600.00</w:t>
                  </w:r>
                </w:p>
              </w:tc>
              <w:tc>
                <w:tcPr>
                  <w:tcW w:w="160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241"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22102</w:t>
                  </w:r>
                </w:p>
              </w:tc>
              <w:tc>
                <w:tcPr>
                  <w:tcW w:w="5234"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住房改革支出</w:t>
                  </w:r>
                </w:p>
              </w:tc>
              <w:tc>
                <w:tcPr>
                  <w:tcW w:w="1755"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54,600.00</w:t>
                  </w:r>
                </w:p>
              </w:tc>
              <w:tc>
                <w:tcPr>
                  <w:tcW w:w="175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54,600.00</w:t>
                  </w:r>
                </w:p>
              </w:tc>
              <w:tc>
                <w:tcPr>
                  <w:tcW w:w="160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2241"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2210201</w:t>
                  </w:r>
                </w:p>
              </w:tc>
              <w:tc>
                <w:tcPr>
                  <w:tcW w:w="5234"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住房公积金</w:t>
                  </w:r>
                </w:p>
              </w:tc>
              <w:tc>
                <w:tcPr>
                  <w:tcW w:w="1755"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54,600.00</w:t>
                  </w:r>
                </w:p>
              </w:tc>
              <w:tc>
                <w:tcPr>
                  <w:tcW w:w="1753"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54,600.00</w:t>
                  </w:r>
                </w:p>
              </w:tc>
              <w:tc>
                <w:tcPr>
                  <w:tcW w:w="160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308" w:hRule="atLeast"/>
              </w:trPr>
              <w:tc>
                <w:tcPr>
                  <w:tcW w:w="12589" w:type="dxa"/>
                  <w:gridSpan w:val="7"/>
                  <w:tcBorders>
                    <w:top w:val="nil"/>
                    <w:left w:val="nil"/>
                    <w:bottom w:val="nil"/>
                    <w:right w:val="nil"/>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注：本表反映部门本年度一般公共预算财政拨款支出情况。</w:t>
                  </w:r>
                </w:p>
              </w:tc>
            </w:tr>
          </w:tbl>
          <w:p>
            <w:pPr>
              <w:widowControl/>
              <w:jc w:val="left"/>
              <w:rPr>
                <w:rFonts w:ascii="Times New Roman" w:hAnsi="Times New Roman" w:eastAsiaTheme="minorEastAsia"/>
                <w:kern w:val="0"/>
                <w:sz w:val="20"/>
                <w:szCs w:val="20"/>
              </w:rPr>
            </w:pPr>
          </w:p>
        </w:tc>
        <w:tc>
          <w:tcPr>
            <w:tcW w:w="102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220" w:type="dxa"/>
            <w:tcBorders>
              <w:top w:val="nil"/>
              <w:left w:val="nil"/>
              <w:bottom w:val="nil"/>
              <w:right w:val="nil"/>
            </w:tcBorders>
            <w:shd w:val="clear" w:color="auto" w:fill="auto"/>
            <w:vAlign w:val="bottom"/>
          </w:tcPr>
          <w:p>
            <w:pPr>
              <w:widowControl/>
              <w:jc w:val="left"/>
              <w:rPr>
                <w:rFonts w:ascii="Times New Roman" w:hAnsi="Times New Roman" w:eastAsiaTheme="minorEastAsia"/>
                <w:kern w:val="0"/>
                <w:sz w:val="20"/>
                <w:szCs w:val="20"/>
              </w:rPr>
            </w:pPr>
          </w:p>
        </w:tc>
        <w:tc>
          <w:tcPr>
            <w:tcW w:w="1100" w:type="dxa"/>
            <w:gridSpan w:val="2"/>
            <w:tcBorders>
              <w:top w:val="nil"/>
              <w:left w:val="nil"/>
              <w:bottom w:val="nil"/>
              <w:right w:val="nil"/>
            </w:tcBorders>
          </w:tcPr>
          <w:p>
            <w:pPr>
              <w:jc w:val="left"/>
            </w:pPr>
          </w:p>
        </w:tc>
        <w:tc>
          <w:tcPr>
            <w:tcW w:w="1100" w:type="dxa"/>
            <w:tcBorders>
              <w:top w:val="nil"/>
              <w:left w:val="nil"/>
              <w:bottom w:val="nil"/>
              <w:right w:val="nil"/>
            </w:tcBorders>
            <w:shd w:val="clear" w:color="auto" w:fill="auto"/>
            <w:vAlign w:val="bottom"/>
          </w:tcPr>
          <w:p>
            <w:pPr>
              <w:jc w:val="center"/>
            </w:pPr>
          </w:p>
        </w:tc>
        <w:tc>
          <w:tcPr>
            <w:tcW w:w="1080" w:type="dxa"/>
            <w:gridSpan w:val="3"/>
            <w:tcBorders>
              <w:top w:val="nil"/>
              <w:left w:val="nil"/>
              <w:bottom w:val="nil"/>
              <w:right w:val="nil"/>
            </w:tcBorders>
            <w:shd w:val="clear" w:color="auto" w:fill="auto"/>
            <w:vAlign w:val="bottom"/>
          </w:tcPr>
          <w:p/>
        </w:tc>
        <w:tc>
          <w:tcPr>
            <w:tcW w:w="1000" w:type="dxa"/>
            <w:tcBorders>
              <w:top w:val="nil"/>
              <w:left w:val="nil"/>
              <w:bottom w:val="nil"/>
              <w:right w:val="nil"/>
            </w:tcBorders>
            <w:shd w:val="clear" w:color="auto" w:fill="auto"/>
            <w:vAlign w:val="bottom"/>
          </w:tcPr>
          <w:p>
            <w:pPr>
              <w:jc w:val="center"/>
              <w:rPr>
                <w:rFonts w:ascii="宋体" w:hAnsi="宋体" w:cs="Arial"/>
                <w:color w:val="000000"/>
                <w:sz w:val="44"/>
                <w:szCs w:val="44"/>
              </w:rPr>
            </w:pPr>
          </w:p>
        </w:tc>
        <w:tc>
          <w:tcPr>
            <w:tcW w:w="118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760"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080"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860"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23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r>
    </w:tbl>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both"/>
        <w:outlineLvl w:val="0"/>
        <w:rPr>
          <w:rFonts w:ascii="隶书" w:hAnsi="隶书" w:eastAsia="隶书" w:cs="隶书"/>
          <w:sz w:val="48"/>
          <w:szCs w:val="48"/>
        </w:rPr>
      </w:pPr>
    </w:p>
    <w:p>
      <w:pPr>
        <w:jc w:val="both"/>
        <w:outlineLvl w:val="0"/>
        <w:rPr>
          <w:rFonts w:ascii="隶书" w:hAnsi="隶书" w:eastAsia="隶书" w:cs="隶书"/>
          <w:sz w:val="48"/>
          <w:szCs w:val="48"/>
        </w:rPr>
      </w:pPr>
    </w:p>
    <w:p>
      <w:pPr>
        <w:jc w:val="both"/>
        <w:outlineLvl w:val="0"/>
        <w:rPr>
          <w:rFonts w:ascii="隶书" w:hAnsi="隶书" w:eastAsia="隶书" w:cs="隶书"/>
          <w:sz w:val="48"/>
          <w:szCs w:val="48"/>
        </w:rPr>
      </w:pPr>
    </w:p>
    <w:p>
      <w:pPr>
        <w:jc w:val="both"/>
        <w:outlineLvl w:val="0"/>
        <w:rPr>
          <w:rFonts w:ascii="隶书" w:hAnsi="隶书" w:eastAsia="隶书" w:cs="隶书"/>
          <w:sz w:val="48"/>
          <w:szCs w:val="48"/>
        </w:rPr>
      </w:pPr>
    </w:p>
    <w:p>
      <w:pPr>
        <w:jc w:val="both"/>
        <w:outlineLvl w:val="0"/>
        <w:rPr>
          <w:rFonts w:ascii="隶书" w:hAnsi="隶书" w:eastAsia="隶书" w:cs="隶书"/>
          <w:sz w:val="48"/>
          <w:szCs w:val="48"/>
        </w:rPr>
      </w:pPr>
    </w:p>
    <w:p>
      <w:pPr>
        <w:jc w:val="both"/>
        <w:outlineLvl w:val="0"/>
        <w:rPr>
          <w:rFonts w:ascii="隶书" w:hAnsi="隶书" w:eastAsia="隶书" w:cs="隶书"/>
          <w:sz w:val="48"/>
          <w:szCs w:val="48"/>
        </w:rPr>
      </w:pPr>
    </w:p>
    <w:p>
      <w:pPr>
        <w:jc w:val="both"/>
        <w:outlineLvl w:val="0"/>
        <w:rPr>
          <w:rFonts w:ascii="隶书" w:hAnsi="隶书" w:eastAsia="隶书" w:cs="隶书"/>
          <w:sz w:val="48"/>
          <w:szCs w:val="48"/>
        </w:rPr>
      </w:pPr>
    </w:p>
    <w:p>
      <w:pPr>
        <w:jc w:val="both"/>
        <w:outlineLvl w:val="0"/>
        <w:rPr>
          <w:rFonts w:ascii="隶书" w:hAnsi="隶书" w:eastAsia="隶书" w:cs="隶书"/>
          <w:sz w:val="48"/>
          <w:szCs w:val="48"/>
        </w:rPr>
      </w:pPr>
    </w:p>
    <w:tbl>
      <w:tblPr>
        <w:tblStyle w:val="5"/>
        <w:tblW w:w="14886" w:type="dxa"/>
        <w:tblInd w:w="108" w:type="dxa"/>
        <w:tblLayout w:type="fixed"/>
        <w:tblCellMar>
          <w:top w:w="0" w:type="dxa"/>
          <w:left w:w="108" w:type="dxa"/>
          <w:bottom w:w="0" w:type="dxa"/>
          <w:right w:w="108" w:type="dxa"/>
        </w:tblCellMar>
      </w:tblPr>
      <w:tblGrid>
        <w:gridCol w:w="880"/>
        <w:gridCol w:w="3330"/>
        <w:gridCol w:w="1536"/>
        <w:gridCol w:w="880"/>
        <w:gridCol w:w="2240"/>
        <w:gridCol w:w="1240"/>
        <w:gridCol w:w="880"/>
        <w:gridCol w:w="2670"/>
        <w:gridCol w:w="1230"/>
      </w:tblGrid>
      <w:tr>
        <w:tblPrEx>
          <w:tblLayout w:type="fixed"/>
          <w:tblCellMar>
            <w:top w:w="0" w:type="dxa"/>
            <w:left w:w="108" w:type="dxa"/>
            <w:bottom w:w="0" w:type="dxa"/>
            <w:right w:w="108" w:type="dxa"/>
          </w:tblCellMar>
        </w:tblPrEx>
        <w:trPr>
          <w:trHeight w:val="370" w:hRule="atLeast"/>
        </w:trPr>
        <w:tc>
          <w:tcPr>
            <w:tcW w:w="14886" w:type="dxa"/>
            <w:gridSpan w:val="9"/>
            <w:tcBorders>
              <w:top w:val="nil"/>
              <w:left w:val="nil"/>
              <w:bottom w:val="nil"/>
              <w:right w:val="nil"/>
            </w:tcBorders>
            <w:shd w:val="clear" w:color="auto" w:fill="auto"/>
            <w:vAlign w:val="bottom"/>
          </w:tcPr>
          <w:p>
            <w:pPr>
              <w:widowControl/>
              <w:jc w:val="center"/>
              <w:rPr>
                <w:rFonts w:ascii="宋体" w:hAnsi="宋体" w:cs="Arial"/>
                <w:color w:val="000000"/>
                <w:kern w:val="0"/>
                <w:sz w:val="30"/>
                <w:szCs w:val="30"/>
              </w:rPr>
            </w:pPr>
          </w:p>
          <w:p>
            <w:pPr>
              <w:widowControl/>
              <w:jc w:val="center"/>
              <w:rPr>
                <w:rFonts w:ascii="Times New Roman" w:hAnsi="Times New Roman" w:eastAsia="Times New Roman"/>
                <w:kern w:val="0"/>
                <w:sz w:val="20"/>
                <w:szCs w:val="20"/>
              </w:rPr>
            </w:pPr>
            <w:r>
              <w:rPr>
                <w:rFonts w:hint="eastAsia" w:ascii="宋体" w:hAnsi="宋体" w:cs="Arial"/>
                <w:color w:val="000000"/>
                <w:kern w:val="0"/>
                <w:sz w:val="30"/>
                <w:szCs w:val="30"/>
              </w:rPr>
              <w:t>一般公共预算财政拨款基本支出决算表</w:t>
            </w:r>
          </w:p>
        </w:tc>
      </w:tr>
      <w:tr>
        <w:tblPrEx>
          <w:tblLayout w:type="fixed"/>
          <w:tblCellMar>
            <w:top w:w="0" w:type="dxa"/>
            <w:left w:w="108" w:type="dxa"/>
            <w:bottom w:w="0" w:type="dxa"/>
            <w:right w:w="108" w:type="dxa"/>
          </w:tblCellMar>
        </w:tblPrEx>
        <w:trPr>
          <w:trHeight w:val="260" w:hRule="atLeast"/>
        </w:trPr>
        <w:tc>
          <w:tcPr>
            <w:tcW w:w="88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333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536"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88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224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24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88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267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230" w:type="dxa"/>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公开06表</w:t>
            </w:r>
          </w:p>
        </w:tc>
      </w:tr>
      <w:tr>
        <w:tblPrEx>
          <w:tblLayout w:type="fixed"/>
          <w:tblCellMar>
            <w:top w:w="0" w:type="dxa"/>
            <w:left w:w="108" w:type="dxa"/>
            <w:bottom w:w="0" w:type="dxa"/>
            <w:right w:w="108" w:type="dxa"/>
          </w:tblCellMar>
        </w:tblPrEx>
        <w:trPr>
          <w:trHeight w:val="260" w:hRule="atLeast"/>
        </w:trPr>
        <w:tc>
          <w:tcPr>
            <w:tcW w:w="5746" w:type="dxa"/>
            <w:gridSpan w:val="3"/>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部门：河南省周口市项城市地方史志编纂办公室</w:t>
            </w:r>
          </w:p>
        </w:tc>
        <w:tc>
          <w:tcPr>
            <w:tcW w:w="880" w:type="dxa"/>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p>
        </w:tc>
        <w:tc>
          <w:tcPr>
            <w:tcW w:w="224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24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88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2670"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230" w:type="dxa"/>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金额单位：元</w:t>
            </w:r>
          </w:p>
        </w:tc>
      </w:tr>
      <w:tr>
        <w:tblPrEx>
          <w:tblLayout w:type="fixed"/>
          <w:tblCellMar>
            <w:top w:w="0" w:type="dxa"/>
            <w:left w:w="108" w:type="dxa"/>
            <w:bottom w:w="0" w:type="dxa"/>
            <w:right w:w="108" w:type="dxa"/>
          </w:tblCellMar>
        </w:tblPrEx>
        <w:trPr>
          <w:trHeight w:val="253" w:hRule="atLeast"/>
        </w:trPr>
        <w:tc>
          <w:tcPr>
            <w:tcW w:w="5746" w:type="dxa"/>
            <w:gridSpan w:val="3"/>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人员经费</w:t>
            </w:r>
          </w:p>
        </w:tc>
        <w:tc>
          <w:tcPr>
            <w:tcW w:w="9140" w:type="dxa"/>
            <w:gridSpan w:val="6"/>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公用经费</w:t>
            </w:r>
          </w:p>
        </w:tc>
      </w:tr>
      <w:tr>
        <w:tblPrEx>
          <w:tblLayout w:type="fixed"/>
          <w:tblCellMar>
            <w:top w:w="0" w:type="dxa"/>
            <w:left w:w="108" w:type="dxa"/>
            <w:bottom w:w="0" w:type="dxa"/>
            <w:right w:w="108" w:type="dxa"/>
          </w:tblCellMar>
        </w:tblPrEx>
        <w:trPr>
          <w:trHeight w:val="340" w:hRule="atLeast"/>
        </w:trPr>
        <w:tc>
          <w:tcPr>
            <w:tcW w:w="880" w:type="dxa"/>
            <w:vMerge w:val="restart"/>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经济分类科目编码</w:t>
            </w:r>
          </w:p>
        </w:tc>
        <w:tc>
          <w:tcPr>
            <w:tcW w:w="333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科目名称</w:t>
            </w:r>
          </w:p>
        </w:tc>
        <w:tc>
          <w:tcPr>
            <w:tcW w:w="1536"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金额</w:t>
            </w:r>
          </w:p>
        </w:tc>
        <w:tc>
          <w:tcPr>
            <w:tcW w:w="88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经济分类科目编码</w:t>
            </w:r>
          </w:p>
        </w:tc>
        <w:tc>
          <w:tcPr>
            <w:tcW w:w="224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科目名称</w:t>
            </w:r>
          </w:p>
        </w:tc>
        <w:tc>
          <w:tcPr>
            <w:tcW w:w="124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金额</w:t>
            </w:r>
          </w:p>
        </w:tc>
        <w:tc>
          <w:tcPr>
            <w:tcW w:w="88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经济分类科目编码</w:t>
            </w:r>
          </w:p>
        </w:tc>
        <w:tc>
          <w:tcPr>
            <w:tcW w:w="267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科目名称</w:t>
            </w:r>
          </w:p>
        </w:tc>
        <w:tc>
          <w:tcPr>
            <w:tcW w:w="1230"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金额</w:t>
            </w:r>
          </w:p>
        </w:tc>
      </w:tr>
      <w:tr>
        <w:tblPrEx>
          <w:tblLayout w:type="fixed"/>
          <w:tblCellMar>
            <w:top w:w="0" w:type="dxa"/>
            <w:left w:w="108" w:type="dxa"/>
            <w:bottom w:w="0" w:type="dxa"/>
            <w:right w:w="108" w:type="dxa"/>
          </w:tblCellMar>
        </w:tblPrEx>
        <w:trPr>
          <w:trHeight w:val="340" w:hRule="atLeast"/>
        </w:trPr>
        <w:tc>
          <w:tcPr>
            <w:tcW w:w="880"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333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536"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88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24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24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88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67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230"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301</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工资福利支出</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905,400.00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商品和服务支出</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75,300.00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其他资本性支出</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19,920.00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30101</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基本工资</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700,100.00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30201</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办公费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34,100.00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31001</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房屋建筑物购建</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30102</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津贴补贴</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30202</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印刷费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8,000.00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31002</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办公设备购置</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19,920.00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30103</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奖金</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31,300.00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30203</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咨询费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31003</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专用设备购置</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30104</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其他社会保障缴费</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64,700.00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30204</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手续费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31005</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基础设施建设</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30106</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伙食补助费</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30205</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水费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31006</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大型修缮</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30107</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绩效工资</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30206</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电费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31007</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信息网络及软件购置更新</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30108</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机关事业单位基本养老保险缴费</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109,300.00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30207</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邮电费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900.00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31008</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物资储备</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30109</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职业年金缴费</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30208</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取暖费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31009</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土地补偿</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30199</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其他工资福利支出</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30209</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物业管理费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31010</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安置补助</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对个人和家庭的补助</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159,600.00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30211</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差旅费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12,000.00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31011</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地上附着物和青苗补偿</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30301</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离休费</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30212</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因公出国（境）费用</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31012</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拆迁补偿</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30302</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退休费</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30213</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维修(护)费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31013</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公务用车购置</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30303</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退职（役）费</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30214</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租赁费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31019</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其他交通工具购置</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30304</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抚恤金</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30215</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会议费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31020</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产权参股</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30305</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生活补助</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105,000.00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30216</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培训费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31099</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其他资本性支出</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30306</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救济费</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30217</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公务接待费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304</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对企事业单位的补贴</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30307</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医疗费</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30218</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专用材料费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30401</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企业政策性补贴</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30308</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助学金</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30224</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被装购置费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30402</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事业单位补贴</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30309</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奖励金</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30225</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专用燃料费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30403</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财政贴息</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30310</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生产补贴</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30226</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劳务费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30499</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其他对企事业单位的补贴</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30311</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住房公积金</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54,600.00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30227</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委托业务费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307</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债务利息支出</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30312</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提租补贴</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30228</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工会经费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6,600.00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30701</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国内债务付息</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30313</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购房补贴</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30229</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福利费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13,700.00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30707</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国外债务付息</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30314</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采暖补贴</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30231</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公务用车运行维护费</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399</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其他支出</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30315</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物业服务补贴</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30239</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其他交通费用</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39906</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赠与</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30399</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其他对个人和家庭的补助支出</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30240</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税金及附加费用</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253" w:hRule="atLeast"/>
        </w:trPr>
        <w:tc>
          <w:tcPr>
            <w:tcW w:w="880" w:type="dxa"/>
            <w:tcBorders>
              <w:top w:val="nil"/>
              <w:left w:val="single" w:color="000000" w:sz="4" w:space="0"/>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333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30299</w:t>
            </w:r>
          </w:p>
        </w:tc>
        <w:tc>
          <w:tcPr>
            <w:tcW w:w="224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xml:space="preserve">  其他商品和服务支出</w:t>
            </w:r>
          </w:p>
        </w:tc>
        <w:tc>
          <w:tcPr>
            <w:tcW w:w="124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8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2670" w:type="dxa"/>
            <w:tcBorders>
              <w:top w:val="nil"/>
              <w:left w:val="nil"/>
              <w:bottom w:val="single" w:color="000000" w:sz="4" w:space="0"/>
              <w:right w:val="single" w:color="000000" w:sz="4" w:space="0"/>
            </w:tcBorders>
            <w:shd w:val="clear" w:color="FFFFFF" w:fill="C0C0C0"/>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253" w:hRule="atLeast"/>
        </w:trPr>
        <w:tc>
          <w:tcPr>
            <w:tcW w:w="4210" w:type="dxa"/>
            <w:gridSpan w:val="2"/>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人员经费合计</w:t>
            </w:r>
          </w:p>
        </w:tc>
        <w:tc>
          <w:tcPr>
            <w:tcW w:w="1536"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1,065,000.00</w:t>
            </w:r>
          </w:p>
        </w:tc>
        <w:tc>
          <w:tcPr>
            <w:tcW w:w="7910" w:type="dxa"/>
            <w:gridSpan w:val="5"/>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公用经费合计</w:t>
            </w:r>
          </w:p>
        </w:tc>
        <w:tc>
          <w:tcPr>
            <w:tcW w:w="1230"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95,220.00</w:t>
            </w:r>
          </w:p>
        </w:tc>
      </w:tr>
      <w:tr>
        <w:tblPrEx>
          <w:tblLayout w:type="fixed"/>
          <w:tblCellMar>
            <w:top w:w="0" w:type="dxa"/>
            <w:left w:w="108" w:type="dxa"/>
            <w:bottom w:w="0" w:type="dxa"/>
            <w:right w:w="108" w:type="dxa"/>
          </w:tblCellMar>
        </w:tblPrEx>
        <w:trPr>
          <w:trHeight w:val="253" w:hRule="atLeast"/>
        </w:trPr>
        <w:tc>
          <w:tcPr>
            <w:tcW w:w="14886" w:type="dxa"/>
            <w:gridSpan w:val="9"/>
            <w:tcBorders>
              <w:top w:val="nil"/>
              <w:left w:val="nil"/>
              <w:bottom w:val="nil"/>
              <w:right w:val="nil"/>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注：本表反映部门本年度一般公共预算财政拨款基本支出明细情况。</w:t>
            </w:r>
          </w:p>
        </w:tc>
      </w:tr>
    </w:tbl>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tbl>
      <w:tblPr>
        <w:tblStyle w:val="5"/>
        <w:tblW w:w="14174" w:type="dxa"/>
        <w:tblInd w:w="0" w:type="dxa"/>
        <w:tblLayout w:type="fixed"/>
        <w:tblCellMar>
          <w:top w:w="0" w:type="dxa"/>
          <w:left w:w="108" w:type="dxa"/>
          <w:bottom w:w="0" w:type="dxa"/>
          <w:right w:w="108" w:type="dxa"/>
        </w:tblCellMar>
      </w:tblPr>
      <w:tblGrid>
        <w:gridCol w:w="1036"/>
        <w:gridCol w:w="1349"/>
        <w:gridCol w:w="1207"/>
        <w:gridCol w:w="1262"/>
        <w:gridCol w:w="1185"/>
        <w:gridCol w:w="1278"/>
        <w:gridCol w:w="1096"/>
        <w:gridCol w:w="1"/>
        <w:gridCol w:w="1395"/>
        <w:gridCol w:w="1"/>
        <w:gridCol w:w="899"/>
        <w:gridCol w:w="1031"/>
        <w:gridCol w:w="1"/>
        <w:gridCol w:w="978"/>
        <w:gridCol w:w="1455"/>
      </w:tblGrid>
      <w:tr>
        <w:tblPrEx>
          <w:tblLayout w:type="fixed"/>
          <w:tblCellMar>
            <w:top w:w="0" w:type="dxa"/>
            <w:left w:w="108" w:type="dxa"/>
            <w:bottom w:w="0" w:type="dxa"/>
            <w:right w:w="108" w:type="dxa"/>
          </w:tblCellMar>
        </w:tblPrEx>
        <w:trPr>
          <w:trHeight w:val="250" w:hRule="atLeast"/>
        </w:trPr>
        <w:tc>
          <w:tcPr>
            <w:tcW w:w="14174" w:type="dxa"/>
            <w:gridSpan w:val="15"/>
            <w:tcBorders>
              <w:top w:val="nil"/>
              <w:left w:val="nil"/>
              <w:bottom w:val="nil"/>
              <w:right w:val="nil"/>
            </w:tcBorders>
            <w:shd w:val="clear" w:color="auto" w:fill="auto"/>
            <w:vAlign w:val="bottom"/>
          </w:tcPr>
          <w:p>
            <w:pPr>
              <w:widowControl/>
              <w:jc w:val="center"/>
              <w:rPr>
                <w:rFonts w:ascii="Arial" w:hAnsi="Arial" w:cs="Arial"/>
                <w:color w:val="000000"/>
                <w:kern w:val="0"/>
                <w:sz w:val="20"/>
                <w:szCs w:val="20"/>
              </w:rPr>
            </w:pPr>
            <w:r>
              <w:rPr>
                <w:rFonts w:ascii="Arial" w:hAnsi="Arial" w:cs="Arial"/>
                <w:color w:val="000000"/>
                <w:kern w:val="0"/>
                <w:sz w:val="28"/>
                <w:szCs w:val="28"/>
              </w:rPr>
              <w:t>一般公共预算财政拨款“三公”经费支出决算表</w:t>
            </w:r>
          </w:p>
        </w:tc>
      </w:tr>
      <w:tr>
        <w:tblPrEx>
          <w:tblLayout w:type="fixed"/>
          <w:tblCellMar>
            <w:top w:w="0" w:type="dxa"/>
            <w:left w:w="108" w:type="dxa"/>
            <w:bottom w:w="0" w:type="dxa"/>
            <w:right w:w="108" w:type="dxa"/>
          </w:tblCellMar>
        </w:tblPrEx>
        <w:trPr>
          <w:trHeight w:val="260" w:hRule="atLeast"/>
        </w:trPr>
        <w:tc>
          <w:tcPr>
            <w:tcW w:w="1036" w:type="dxa"/>
            <w:tcBorders>
              <w:top w:val="nil"/>
              <w:left w:val="nil"/>
              <w:bottom w:val="nil"/>
              <w:right w:val="nil"/>
            </w:tcBorders>
            <w:shd w:val="clear" w:color="auto" w:fill="auto"/>
            <w:vAlign w:val="bottom"/>
          </w:tcPr>
          <w:p>
            <w:pPr>
              <w:widowControl/>
              <w:jc w:val="center"/>
              <w:rPr>
                <w:rFonts w:ascii="Arial" w:hAnsi="Arial" w:cs="Arial"/>
                <w:color w:val="000000"/>
                <w:kern w:val="0"/>
                <w:sz w:val="20"/>
                <w:szCs w:val="20"/>
              </w:rPr>
            </w:pPr>
          </w:p>
        </w:tc>
        <w:tc>
          <w:tcPr>
            <w:tcW w:w="1349"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207"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262"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185"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278"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096"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396"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900"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031"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979"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455" w:type="dxa"/>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公开07表</w:t>
            </w:r>
          </w:p>
        </w:tc>
      </w:tr>
      <w:tr>
        <w:tblPrEx>
          <w:tblLayout w:type="fixed"/>
          <w:tblCellMar>
            <w:top w:w="0" w:type="dxa"/>
            <w:left w:w="108" w:type="dxa"/>
            <w:bottom w:w="0" w:type="dxa"/>
            <w:right w:w="108" w:type="dxa"/>
          </w:tblCellMar>
        </w:tblPrEx>
        <w:trPr>
          <w:trHeight w:val="260" w:hRule="atLeast"/>
        </w:trPr>
        <w:tc>
          <w:tcPr>
            <w:tcW w:w="6039" w:type="dxa"/>
            <w:gridSpan w:val="5"/>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部门：河南省周口市项城市地方史志编纂办公室</w:t>
            </w:r>
          </w:p>
        </w:tc>
        <w:tc>
          <w:tcPr>
            <w:tcW w:w="1278" w:type="dxa"/>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p>
        </w:tc>
        <w:tc>
          <w:tcPr>
            <w:tcW w:w="1096"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396"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900"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031"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979"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455" w:type="dxa"/>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金额单位：元</w:t>
            </w:r>
          </w:p>
        </w:tc>
      </w:tr>
      <w:tr>
        <w:tblPrEx>
          <w:tblLayout w:type="fixed"/>
          <w:tblCellMar>
            <w:top w:w="0" w:type="dxa"/>
            <w:left w:w="108" w:type="dxa"/>
            <w:bottom w:w="0" w:type="dxa"/>
            <w:right w:w="108" w:type="dxa"/>
          </w:tblCellMar>
        </w:tblPrEx>
        <w:trPr>
          <w:trHeight w:val="308" w:hRule="atLeast"/>
        </w:trPr>
        <w:tc>
          <w:tcPr>
            <w:tcW w:w="7317" w:type="dxa"/>
            <w:gridSpan w:val="6"/>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预算数</w:t>
            </w:r>
          </w:p>
        </w:tc>
        <w:tc>
          <w:tcPr>
            <w:tcW w:w="6857" w:type="dxa"/>
            <w:gridSpan w:val="9"/>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决算数</w:t>
            </w:r>
          </w:p>
        </w:tc>
      </w:tr>
      <w:tr>
        <w:tblPrEx>
          <w:tblLayout w:type="fixed"/>
          <w:tblCellMar>
            <w:top w:w="0" w:type="dxa"/>
            <w:left w:w="108" w:type="dxa"/>
            <w:bottom w:w="0" w:type="dxa"/>
            <w:right w:w="108" w:type="dxa"/>
          </w:tblCellMar>
        </w:tblPrEx>
        <w:trPr>
          <w:trHeight w:val="308" w:hRule="atLeast"/>
        </w:trPr>
        <w:tc>
          <w:tcPr>
            <w:tcW w:w="1036" w:type="dxa"/>
            <w:vMerge w:val="restart"/>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合计</w:t>
            </w:r>
          </w:p>
        </w:tc>
        <w:tc>
          <w:tcPr>
            <w:tcW w:w="1349"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因公出国（境）费</w:t>
            </w:r>
          </w:p>
        </w:tc>
        <w:tc>
          <w:tcPr>
            <w:tcW w:w="3654" w:type="dxa"/>
            <w:gridSpan w:val="3"/>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公务用车购置及运行费</w:t>
            </w:r>
          </w:p>
        </w:tc>
        <w:tc>
          <w:tcPr>
            <w:tcW w:w="1278"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公务接待费</w:t>
            </w:r>
          </w:p>
        </w:tc>
        <w:tc>
          <w:tcPr>
            <w:tcW w:w="1097" w:type="dxa"/>
            <w:gridSpan w:val="2"/>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合计</w:t>
            </w:r>
          </w:p>
        </w:tc>
        <w:tc>
          <w:tcPr>
            <w:tcW w:w="1396" w:type="dxa"/>
            <w:gridSpan w:val="2"/>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因公出国（境）费</w:t>
            </w:r>
          </w:p>
        </w:tc>
        <w:tc>
          <w:tcPr>
            <w:tcW w:w="2909" w:type="dxa"/>
            <w:gridSpan w:val="4"/>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公务用车购置及运行费</w:t>
            </w:r>
          </w:p>
        </w:tc>
        <w:tc>
          <w:tcPr>
            <w:tcW w:w="1455"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公务接待费</w:t>
            </w:r>
          </w:p>
        </w:tc>
      </w:tr>
      <w:tr>
        <w:tblPrEx>
          <w:tblLayout w:type="fixed"/>
          <w:tblCellMar>
            <w:top w:w="0" w:type="dxa"/>
            <w:left w:w="108" w:type="dxa"/>
            <w:bottom w:w="0" w:type="dxa"/>
            <w:right w:w="108" w:type="dxa"/>
          </w:tblCellMar>
        </w:tblPrEx>
        <w:trPr>
          <w:trHeight w:val="615" w:hRule="atLeast"/>
        </w:trPr>
        <w:tc>
          <w:tcPr>
            <w:tcW w:w="1036" w:type="dxa"/>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349"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207"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小计</w:t>
            </w:r>
          </w:p>
        </w:tc>
        <w:tc>
          <w:tcPr>
            <w:tcW w:w="1262"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公务用车购置费</w:t>
            </w:r>
          </w:p>
        </w:tc>
        <w:tc>
          <w:tcPr>
            <w:tcW w:w="1185"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公务用车运行费</w:t>
            </w:r>
          </w:p>
        </w:tc>
        <w:tc>
          <w:tcPr>
            <w:tcW w:w="1278"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097"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396"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899"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小计</w:t>
            </w:r>
          </w:p>
        </w:tc>
        <w:tc>
          <w:tcPr>
            <w:tcW w:w="1032"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公务用车购置费</w:t>
            </w:r>
          </w:p>
        </w:tc>
        <w:tc>
          <w:tcPr>
            <w:tcW w:w="978"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公务用车运行费</w:t>
            </w:r>
          </w:p>
        </w:tc>
        <w:tc>
          <w:tcPr>
            <w:tcW w:w="1455"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08" w:hRule="atLeast"/>
        </w:trPr>
        <w:tc>
          <w:tcPr>
            <w:tcW w:w="1036" w:type="dxa"/>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w:t>
            </w:r>
          </w:p>
        </w:tc>
        <w:tc>
          <w:tcPr>
            <w:tcW w:w="1349"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w:t>
            </w:r>
          </w:p>
        </w:tc>
        <w:tc>
          <w:tcPr>
            <w:tcW w:w="1207"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w:t>
            </w:r>
          </w:p>
        </w:tc>
        <w:tc>
          <w:tcPr>
            <w:tcW w:w="1262"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w:t>
            </w:r>
          </w:p>
        </w:tc>
        <w:tc>
          <w:tcPr>
            <w:tcW w:w="1185"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w:t>
            </w:r>
          </w:p>
        </w:tc>
        <w:tc>
          <w:tcPr>
            <w:tcW w:w="1278"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6</w:t>
            </w:r>
          </w:p>
        </w:tc>
        <w:tc>
          <w:tcPr>
            <w:tcW w:w="1097"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7</w:t>
            </w:r>
          </w:p>
        </w:tc>
        <w:tc>
          <w:tcPr>
            <w:tcW w:w="1396"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8</w:t>
            </w:r>
          </w:p>
        </w:tc>
        <w:tc>
          <w:tcPr>
            <w:tcW w:w="899"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9</w:t>
            </w:r>
          </w:p>
        </w:tc>
        <w:tc>
          <w:tcPr>
            <w:tcW w:w="1032"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10</w:t>
            </w:r>
          </w:p>
        </w:tc>
        <w:tc>
          <w:tcPr>
            <w:tcW w:w="978"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11</w:t>
            </w:r>
          </w:p>
        </w:tc>
        <w:tc>
          <w:tcPr>
            <w:tcW w:w="1455"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12</w:t>
            </w:r>
          </w:p>
        </w:tc>
      </w:tr>
      <w:tr>
        <w:tblPrEx>
          <w:tblLayout w:type="fixed"/>
          <w:tblCellMar>
            <w:top w:w="0" w:type="dxa"/>
            <w:left w:w="108" w:type="dxa"/>
            <w:bottom w:w="0" w:type="dxa"/>
            <w:right w:w="108" w:type="dxa"/>
          </w:tblCellMar>
        </w:tblPrEx>
        <w:trPr>
          <w:trHeight w:val="308" w:hRule="atLeast"/>
        </w:trPr>
        <w:tc>
          <w:tcPr>
            <w:tcW w:w="1036" w:type="dxa"/>
            <w:tcBorders>
              <w:top w:val="nil"/>
              <w:left w:val="single" w:color="000000" w:sz="4" w:space="0"/>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700.00</w:t>
            </w:r>
          </w:p>
        </w:tc>
        <w:tc>
          <w:tcPr>
            <w:tcW w:w="1349"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207"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262"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185"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2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700.00</w:t>
            </w:r>
          </w:p>
        </w:tc>
        <w:tc>
          <w:tcPr>
            <w:tcW w:w="1097"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396"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899"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032"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9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c>
          <w:tcPr>
            <w:tcW w:w="1455"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0.00</w:t>
            </w:r>
          </w:p>
        </w:tc>
      </w:tr>
      <w:tr>
        <w:tblPrEx>
          <w:tblLayout w:type="fixed"/>
          <w:tblCellMar>
            <w:top w:w="0" w:type="dxa"/>
            <w:left w:w="108" w:type="dxa"/>
            <w:bottom w:w="0" w:type="dxa"/>
            <w:right w:w="108" w:type="dxa"/>
          </w:tblCellMar>
        </w:tblPrEx>
        <w:trPr>
          <w:trHeight w:val="615" w:hRule="atLeast"/>
        </w:trPr>
        <w:tc>
          <w:tcPr>
            <w:tcW w:w="14174" w:type="dxa"/>
            <w:gridSpan w:val="15"/>
            <w:tcBorders>
              <w:top w:val="nil"/>
              <w:left w:val="nil"/>
              <w:bottom w:val="nil"/>
              <w:right w:val="nil"/>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注：本表反映部门本年度“三公”经费支出预决算情况。其中：预算数为“三公”经费年初预算数，决算数是包括当年一般公共预算财政拨款和以前年度结转资金安排的实际支出。</w:t>
            </w:r>
          </w:p>
        </w:tc>
      </w:tr>
      <w:tr>
        <w:tblPrEx>
          <w:tblLayout w:type="fixed"/>
          <w:tblCellMar>
            <w:top w:w="0" w:type="dxa"/>
            <w:left w:w="108" w:type="dxa"/>
            <w:bottom w:w="0" w:type="dxa"/>
            <w:right w:w="108" w:type="dxa"/>
          </w:tblCellMar>
        </w:tblPrEx>
        <w:trPr>
          <w:trHeight w:val="250" w:hRule="atLeast"/>
        </w:trPr>
        <w:tc>
          <w:tcPr>
            <w:tcW w:w="1036" w:type="dxa"/>
            <w:tcBorders>
              <w:top w:val="nil"/>
              <w:left w:val="nil"/>
              <w:bottom w:val="nil"/>
              <w:right w:val="nil"/>
            </w:tcBorders>
            <w:shd w:val="clear" w:color="auto" w:fill="auto"/>
            <w:vAlign w:val="bottom"/>
          </w:tcPr>
          <w:p>
            <w:pPr>
              <w:widowControl/>
              <w:jc w:val="left"/>
              <w:rPr>
                <w:rFonts w:ascii="宋体" w:hAnsi="宋体" w:cs="Arial"/>
                <w:color w:val="000000"/>
                <w:kern w:val="0"/>
                <w:sz w:val="22"/>
                <w:szCs w:val="22"/>
              </w:rPr>
            </w:pPr>
          </w:p>
        </w:tc>
        <w:tc>
          <w:tcPr>
            <w:tcW w:w="1349"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207"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262"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185"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278"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096"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396"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900"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031"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979"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455"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r>
    </w:tbl>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p>
      <w:pPr>
        <w:jc w:val="center"/>
        <w:outlineLvl w:val="0"/>
        <w:rPr>
          <w:rFonts w:ascii="隶书" w:hAnsi="隶书" w:eastAsia="隶书" w:cs="隶书"/>
          <w:sz w:val="48"/>
          <w:szCs w:val="48"/>
        </w:rPr>
      </w:pPr>
    </w:p>
    <w:tbl>
      <w:tblPr>
        <w:tblStyle w:val="5"/>
        <w:tblW w:w="14174" w:type="dxa"/>
        <w:tblInd w:w="0" w:type="dxa"/>
        <w:tblLayout w:type="fixed"/>
        <w:tblCellMar>
          <w:top w:w="0" w:type="dxa"/>
          <w:left w:w="108" w:type="dxa"/>
          <w:bottom w:w="0" w:type="dxa"/>
          <w:right w:w="108" w:type="dxa"/>
        </w:tblCellMar>
      </w:tblPr>
      <w:tblGrid>
        <w:gridCol w:w="438"/>
        <w:gridCol w:w="439"/>
        <w:gridCol w:w="438"/>
        <w:gridCol w:w="2192"/>
        <w:gridCol w:w="1778"/>
        <w:gridCol w:w="1778"/>
        <w:gridCol w:w="1777"/>
        <w:gridCol w:w="1"/>
        <w:gridCol w:w="1777"/>
        <w:gridCol w:w="1"/>
        <w:gridCol w:w="1777"/>
        <w:gridCol w:w="1778"/>
      </w:tblGrid>
      <w:tr>
        <w:tblPrEx>
          <w:tblLayout w:type="fixed"/>
          <w:tblCellMar>
            <w:top w:w="0" w:type="dxa"/>
            <w:left w:w="108" w:type="dxa"/>
            <w:bottom w:w="0" w:type="dxa"/>
            <w:right w:w="108" w:type="dxa"/>
          </w:tblCellMar>
        </w:tblPrEx>
        <w:trPr>
          <w:trHeight w:val="370" w:hRule="atLeast"/>
        </w:trPr>
        <w:tc>
          <w:tcPr>
            <w:tcW w:w="14174" w:type="dxa"/>
            <w:gridSpan w:val="12"/>
            <w:tcBorders>
              <w:top w:val="nil"/>
              <w:left w:val="nil"/>
              <w:bottom w:val="nil"/>
              <w:right w:val="nil"/>
            </w:tcBorders>
            <w:shd w:val="clear" w:color="auto" w:fill="auto"/>
            <w:vAlign w:val="bottom"/>
          </w:tcPr>
          <w:p>
            <w:pPr>
              <w:widowControl/>
              <w:jc w:val="center"/>
              <w:rPr>
                <w:rFonts w:ascii="Times New Roman" w:hAnsi="Times New Roman" w:eastAsia="Times New Roman"/>
                <w:kern w:val="0"/>
                <w:sz w:val="20"/>
                <w:szCs w:val="20"/>
              </w:rPr>
            </w:pPr>
            <w:r>
              <w:rPr>
                <w:rFonts w:hint="eastAsia" w:ascii="宋体" w:hAnsi="宋体" w:cs="Arial"/>
                <w:color w:val="000000"/>
                <w:kern w:val="0"/>
                <w:sz w:val="30"/>
                <w:szCs w:val="30"/>
              </w:rPr>
              <w:t>政府性基金预算财政拨款收入支出决算表</w:t>
            </w:r>
          </w:p>
        </w:tc>
      </w:tr>
      <w:tr>
        <w:tblPrEx>
          <w:tblLayout w:type="fixed"/>
          <w:tblCellMar>
            <w:top w:w="0" w:type="dxa"/>
            <w:left w:w="108" w:type="dxa"/>
            <w:bottom w:w="0" w:type="dxa"/>
            <w:right w:w="108" w:type="dxa"/>
          </w:tblCellMar>
        </w:tblPrEx>
        <w:trPr>
          <w:trHeight w:val="260" w:hRule="atLeast"/>
        </w:trPr>
        <w:tc>
          <w:tcPr>
            <w:tcW w:w="438"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439"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438"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2192"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778"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778"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777"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778"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778"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778" w:type="dxa"/>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公开08表</w:t>
            </w:r>
          </w:p>
        </w:tc>
      </w:tr>
      <w:tr>
        <w:tblPrEx>
          <w:tblLayout w:type="fixed"/>
          <w:tblCellMar>
            <w:top w:w="0" w:type="dxa"/>
            <w:left w:w="108" w:type="dxa"/>
            <w:bottom w:w="0" w:type="dxa"/>
            <w:right w:w="108" w:type="dxa"/>
          </w:tblCellMar>
        </w:tblPrEx>
        <w:trPr>
          <w:trHeight w:val="260" w:hRule="atLeast"/>
        </w:trPr>
        <w:tc>
          <w:tcPr>
            <w:tcW w:w="5285" w:type="dxa"/>
            <w:gridSpan w:val="5"/>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r>
              <w:rPr>
                <w:rFonts w:hint="eastAsia" w:ascii="宋体" w:hAnsi="宋体" w:cs="Arial"/>
                <w:color w:val="000000"/>
                <w:kern w:val="0"/>
                <w:sz w:val="20"/>
                <w:szCs w:val="20"/>
              </w:rPr>
              <w:t>部门：河南省周口市项城市地方史志编纂办公室</w:t>
            </w:r>
          </w:p>
        </w:tc>
        <w:tc>
          <w:tcPr>
            <w:tcW w:w="1778" w:type="dxa"/>
            <w:tcBorders>
              <w:top w:val="nil"/>
              <w:left w:val="nil"/>
              <w:bottom w:val="nil"/>
              <w:right w:val="nil"/>
            </w:tcBorders>
            <w:shd w:val="clear" w:color="auto" w:fill="auto"/>
            <w:vAlign w:val="bottom"/>
          </w:tcPr>
          <w:p>
            <w:pPr>
              <w:widowControl/>
              <w:jc w:val="left"/>
              <w:rPr>
                <w:rFonts w:ascii="宋体" w:hAnsi="宋体" w:cs="Arial"/>
                <w:color w:val="000000"/>
                <w:kern w:val="0"/>
                <w:sz w:val="20"/>
                <w:szCs w:val="20"/>
              </w:rPr>
            </w:pPr>
          </w:p>
        </w:tc>
        <w:tc>
          <w:tcPr>
            <w:tcW w:w="1777" w:type="dxa"/>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778"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778" w:type="dxa"/>
            <w:gridSpan w:val="2"/>
            <w:tcBorders>
              <w:top w:val="nil"/>
              <w:left w:val="nil"/>
              <w:bottom w:val="nil"/>
              <w:right w:val="nil"/>
            </w:tcBorders>
            <w:shd w:val="clear" w:color="auto" w:fill="auto"/>
            <w:vAlign w:val="bottom"/>
          </w:tcPr>
          <w:p>
            <w:pPr>
              <w:widowControl/>
              <w:jc w:val="left"/>
              <w:rPr>
                <w:rFonts w:ascii="Times New Roman" w:hAnsi="Times New Roman" w:eastAsia="Times New Roman"/>
                <w:kern w:val="0"/>
                <w:sz w:val="20"/>
                <w:szCs w:val="20"/>
              </w:rPr>
            </w:pPr>
          </w:p>
        </w:tc>
        <w:tc>
          <w:tcPr>
            <w:tcW w:w="1778" w:type="dxa"/>
            <w:tcBorders>
              <w:top w:val="nil"/>
              <w:left w:val="nil"/>
              <w:bottom w:val="nil"/>
              <w:right w:val="nil"/>
            </w:tcBorders>
            <w:shd w:val="clear" w:color="auto" w:fill="auto"/>
            <w:vAlign w:val="bottom"/>
          </w:tcPr>
          <w:p>
            <w:pPr>
              <w:widowControl/>
              <w:jc w:val="right"/>
              <w:rPr>
                <w:rFonts w:ascii="宋体" w:hAnsi="宋体" w:cs="Arial"/>
                <w:color w:val="000000"/>
                <w:kern w:val="0"/>
                <w:sz w:val="20"/>
                <w:szCs w:val="20"/>
              </w:rPr>
            </w:pPr>
            <w:r>
              <w:rPr>
                <w:rFonts w:hint="eastAsia" w:ascii="宋体" w:hAnsi="宋体" w:cs="Arial"/>
                <w:color w:val="000000"/>
                <w:kern w:val="0"/>
                <w:sz w:val="20"/>
                <w:szCs w:val="20"/>
              </w:rPr>
              <w:t>金额单位：元</w:t>
            </w:r>
          </w:p>
        </w:tc>
      </w:tr>
      <w:tr>
        <w:tblPrEx>
          <w:tblLayout w:type="fixed"/>
          <w:tblCellMar>
            <w:top w:w="0" w:type="dxa"/>
            <w:left w:w="108" w:type="dxa"/>
            <w:bottom w:w="0" w:type="dxa"/>
            <w:right w:w="108" w:type="dxa"/>
          </w:tblCellMar>
        </w:tblPrEx>
        <w:trPr>
          <w:trHeight w:val="308" w:hRule="atLeast"/>
        </w:trPr>
        <w:tc>
          <w:tcPr>
            <w:tcW w:w="3507" w:type="dxa"/>
            <w:gridSpan w:val="4"/>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项目</w:t>
            </w:r>
          </w:p>
        </w:tc>
        <w:tc>
          <w:tcPr>
            <w:tcW w:w="1778" w:type="dxa"/>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年初结转和结余</w:t>
            </w:r>
          </w:p>
        </w:tc>
        <w:tc>
          <w:tcPr>
            <w:tcW w:w="1778" w:type="dxa"/>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本年收入</w:t>
            </w:r>
          </w:p>
        </w:tc>
        <w:tc>
          <w:tcPr>
            <w:tcW w:w="5333" w:type="dxa"/>
            <w:gridSpan w:val="5"/>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本年支出</w:t>
            </w:r>
          </w:p>
        </w:tc>
        <w:tc>
          <w:tcPr>
            <w:tcW w:w="1778" w:type="dxa"/>
            <w:vMerge w:val="restart"/>
            <w:tcBorders>
              <w:top w:val="single" w:color="000000" w:sz="4" w:space="0"/>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年末结转和结余</w:t>
            </w:r>
          </w:p>
        </w:tc>
      </w:tr>
      <w:tr>
        <w:tblPrEx>
          <w:tblLayout w:type="fixed"/>
          <w:tblCellMar>
            <w:top w:w="0" w:type="dxa"/>
            <w:left w:w="108" w:type="dxa"/>
            <w:bottom w:w="0" w:type="dxa"/>
            <w:right w:w="108" w:type="dxa"/>
          </w:tblCellMar>
        </w:tblPrEx>
        <w:trPr>
          <w:trHeight w:val="340" w:hRule="atLeast"/>
        </w:trPr>
        <w:tc>
          <w:tcPr>
            <w:tcW w:w="1315" w:type="dxa"/>
            <w:gridSpan w:val="3"/>
            <w:vMerge w:val="restart"/>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功能分类科目编码</w:t>
            </w:r>
          </w:p>
        </w:tc>
        <w:tc>
          <w:tcPr>
            <w:tcW w:w="2192"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科目名称</w:t>
            </w:r>
          </w:p>
        </w:tc>
        <w:tc>
          <w:tcPr>
            <w:tcW w:w="1778"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78"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78" w:type="dxa"/>
            <w:gridSpan w:val="2"/>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小计</w:t>
            </w:r>
          </w:p>
        </w:tc>
        <w:tc>
          <w:tcPr>
            <w:tcW w:w="1778" w:type="dxa"/>
            <w:gridSpan w:val="2"/>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基本支出</w:t>
            </w:r>
          </w:p>
        </w:tc>
        <w:tc>
          <w:tcPr>
            <w:tcW w:w="1777" w:type="dxa"/>
            <w:vMerge w:val="restart"/>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项目支出</w:t>
            </w:r>
          </w:p>
        </w:tc>
        <w:tc>
          <w:tcPr>
            <w:tcW w:w="1778"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40" w:hRule="atLeast"/>
        </w:trPr>
        <w:tc>
          <w:tcPr>
            <w:tcW w:w="1315"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192"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78"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78"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78"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78"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77"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78"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40" w:hRule="atLeast"/>
        </w:trPr>
        <w:tc>
          <w:tcPr>
            <w:tcW w:w="1315" w:type="dxa"/>
            <w:gridSpan w:val="3"/>
            <w:vMerge w:val="continue"/>
            <w:tcBorders>
              <w:top w:val="nil"/>
              <w:left w:val="single" w:color="000000" w:sz="4" w:space="0"/>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2192"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78"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78"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78"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78" w:type="dxa"/>
            <w:gridSpan w:val="2"/>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77" w:type="dxa"/>
            <w:vMerge w:val="continue"/>
            <w:tcBorders>
              <w:top w:val="nil"/>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c>
          <w:tcPr>
            <w:tcW w:w="1778" w:type="dxa"/>
            <w:vMerge w:val="continue"/>
            <w:tcBorders>
              <w:top w:val="single" w:color="000000" w:sz="4" w:space="0"/>
              <w:left w:val="nil"/>
              <w:bottom w:val="single" w:color="000000" w:sz="4" w:space="0"/>
              <w:right w:val="single" w:color="000000" w:sz="4" w:space="0"/>
            </w:tcBorders>
            <w:vAlign w:val="center"/>
          </w:tcPr>
          <w:p>
            <w:pPr>
              <w:widowControl/>
              <w:jc w:val="left"/>
              <w:rPr>
                <w:rFonts w:ascii="宋体" w:hAnsi="宋体" w:cs="Arial"/>
                <w:color w:val="000000"/>
                <w:kern w:val="0"/>
                <w:sz w:val="22"/>
                <w:szCs w:val="22"/>
              </w:rPr>
            </w:pPr>
          </w:p>
        </w:tc>
      </w:tr>
      <w:tr>
        <w:tblPrEx>
          <w:tblLayout w:type="fixed"/>
          <w:tblCellMar>
            <w:top w:w="0" w:type="dxa"/>
            <w:left w:w="108" w:type="dxa"/>
            <w:bottom w:w="0" w:type="dxa"/>
            <w:right w:w="108" w:type="dxa"/>
          </w:tblCellMar>
        </w:tblPrEx>
        <w:trPr>
          <w:trHeight w:val="308" w:hRule="atLeast"/>
        </w:trPr>
        <w:tc>
          <w:tcPr>
            <w:tcW w:w="3507" w:type="dxa"/>
            <w:gridSpan w:val="4"/>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栏次</w:t>
            </w:r>
          </w:p>
        </w:tc>
        <w:tc>
          <w:tcPr>
            <w:tcW w:w="1778"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1</w:t>
            </w:r>
          </w:p>
        </w:tc>
        <w:tc>
          <w:tcPr>
            <w:tcW w:w="1778"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2</w:t>
            </w:r>
          </w:p>
        </w:tc>
        <w:tc>
          <w:tcPr>
            <w:tcW w:w="1778"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3</w:t>
            </w:r>
          </w:p>
        </w:tc>
        <w:tc>
          <w:tcPr>
            <w:tcW w:w="1778" w:type="dxa"/>
            <w:gridSpan w:val="2"/>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4</w:t>
            </w:r>
          </w:p>
        </w:tc>
        <w:tc>
          <w:tcPr>
            <w:tcW w:w="1777"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5</w:t>
            </w:r>
          </w:p>
        </w:tc>
        <w:tc>
          <w:tcPr>
            <w:tcW w:w="1778" w:type="dxa"/>
            <w:tcBorders>
              <w:top w:val="nil"/>
              <w:left w:val="nil"/>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6</w:t>
            </w:r>
          </w:p>
        </w:tc>
      </w:tr>
      <w:tr>
        <w:tblPrEx>
          <w:tblLayout w:type="fixed"/>
          <w:tblCellMar>
            <w:top w:w="0" w:type="dxa"/>
            <w:left w:w="108" w:type="dxa"/>
            <w:bottom w:w="0" w:type="dxa"/>
            <w:right w:w="108" w:type="dxa"/>
          </w:tblCellMar>
        </w:tblPrEx>
        <w:trPr>
          <w:trHeight w:val="308" w:hRule="atLeast"/>
        </w:trPr>
        <w:tc>
          <w:tcPr>
            <w:tcW w:w="3507" w:type="dxa"/>
            <w:gridSpan w:val="4"/>
            <w:tcBorders>
              <w:top w:val="nil"/>
              <w:left w:val="single" w:color="000000" w:sz="4" w:space="0"/>
              <w:bottom w:val="single" w:color="000000" w:sz="4" w:space="0"/>
              <w:right w:val="single" w:color="000000" w:sz="4" w:space="0"/>
            </w:tcBorders>
            <w:shd w:val="clear" w:color="FFFFFF" w:fill="C0C0C0"/>
            <w:vAlign w:val="center"/>
          </w:tcPr>
          <w:p>
            <w:pPr>
              <w:widowControl/>
              <w:jc w:val="center"/>
              <w:rPr>
                <w:rFonts w:ascii="宋体" w:hAnsi="宋体" w:cs="Arial"/>
                <w:color w:val="000000"/>
                <w:kern w:val="0"/>
                <w:sz w:val="22"/>
                <w:szCs w:val="22"/>
              </w:rPr>
            </w:pPr>
            <w:r>
              <w:rPr>
                <w:rFonts w:hint="eastAsia" w:ascii="宋体" w:hAnsi="宋体" w:cs="Arial"/>
                <w:color w:val="000000"/>
                <w:kern w:val="0"/>
                <w:sz w:val="22"/>
                <w:szCs w:val="22"/>
              </w:rPr>
              <w:t>合计</w:t>
            </w:r>
          </w:p>
        </w:tc>
        <w:tc>
          <w:tcPr>
            <w:tcW w:w="17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szCs w:val="22"/>
              </w:rPr>
            </w:pPr>
            <w:r>
              <w:rPr>
                <w:rFonts w:hint="eastAsia" w:ascii="宋体" w:hAnsi="宋体" w:cs="Arial"/>
                <w:b/>
                <w:bCs/>
                <w:color w:val="000000"/>
                <w:kern w:val="0"/>
                <w:sz w:val="22"/>
                <w:szCs w:val="22"/>
              </w:rPr>
              <w:t>　</w:t>
            </w:r>
          </w:p>
        </w:tc>
        <w:tc>
          <w:tcPr>
            <w:tcW w:w="17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szCs w:val="22"/>
              </w:rPr>
            </w:pPr>
            <w:r>
              <w:rPr>
                <w:rFonts w:hint="eastAsia" w:ascii="宋体" w:hAnsi="宋体" w:cs="Arial"/>
                <w:b/>
                <w:bCs/>
                <w:color w:val="000000"/>
                <w:kern w:val="0"/>
                <w:sz w:val="22"/>
                <w:szCs w:val="22"/>
              </w:rPr>
              <w:t>　</w:t>
            </w:r>
          </w:p>
        </w:tc>
        <w:tc>
          <w:tcPr>
            <w:tcW w:w="1778"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szCs w:val="22"/>
              </w:rPr>
            </w:pPr>
            <w:r>
              <w:rPr>
                <w:rFonts w:hint="eastAsia" w:ascii="宋体" w:hAnsi="宋体" w:cs="Arial"/>
                <w:b/>
                <w:bCs/>
                <w:color w:val="000000"/>
                <w:kern w:val="0"/>
                <w:sz w:val="22"/>
                <w:szCs w:val="22"/>
              </w:rPr>
              <w:t>　</w:t>
            </w:r>
          </w:p>
        </w:tc>
        <w:tc>
          <w:tcPr>
            <w:tcW w:w="1778"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szCs w:val="22"/>
              </w:rPr>
            </w:pPr>
            <w:r>
              <w:rPr>
                <w:rFonts w:hint="eastAsia" w:ascii="宋体" w:hAnsi="宋体" w:cs="Arial"/>
                <w:b/>
                <w:bCs/>
                <w:color w:val="000000"/>
                <w:kern w:val="0"/>
                <w:sz w:val="22"/>
                <w:szCs w:val="22"/>
              </w:rPr>
              <w:t>　</w:t>
            </w:r>
          </w:p>
        </w:tc>
        <w:tc>
          <w:tcPr>
            <w:tcW w:w="1777"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szCs w:val="22"/>
              </w:rPr>
            </w:pPr>
            <w:r>
              <w:rPr>
                <w:rFonts w:hint="eastAsia" w:ascii="宋体" w:hAnsi="宋体" w:cs="Arial"/>
                <w:b/>
                <w:bCs/>
                <w:color w:val="000000"/>
                <w:kern w:val="0"/>
                <w:sz w:val="22"/>
                <w:szCs w:val="22"/>
              </w:rPr>
              <w:t>　</w:t>
            </w:r>
          </w:p>
        </w:tc>
        <w:tc>
          <w:tcPr>
            <w:tcW w:w="17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b/>
                <w:bCs/>
                <w:color w:val="000000"/>
                <w:kern w:val="0"/>
                <w:sz w:val="22"/>
                <w:szCs w:val="22"/>
              </w:rPr>
            </w:pPr>
            <w:r>
              <w:rPr>
                <w:rFonts w:hint="eastAsia" w:ascii="宋体" w:hAnsi="宋体" w:cs="Arial"/>
                <w:b/>
                <w:bCs/>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1315"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2192"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7"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1315"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2192"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7"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1315"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2192"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7"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1315"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2192"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7"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1315"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2192"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7"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1315" w:type="dxa"/>
            <w:gridSpan w:val="3"/>
            <w:tcBorders>
              <w:top w:val="nil"/>
              <w:left w:val="single" w:color="000000" w:sz="4" w:space="0"/>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2192" w:type="dxa"/>
            <w:tcBorders>
              <w:top w:val="nil"/>
              <w:left w:val="nil"/>
              <w:bottom w:val="single" w:color="000000" w:sz="4" w:space="0"/>
              <w:right w:val="single" w:color="000000" w:sz="4" w:space="0"/>
            </w:tcBorders>
            <w:shd w:val="clear" w:color="auto" w:fill="auto"/>
            <w:vAlign w:val="center"/>
          </w:tcPr>
          <w:p>
            <w:pPr>
              <w:widowControl/>
              <w:jc w:val="lef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gridSpan w:val="2"/>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7"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c>
          <w:tcPr>
            <w:tcW w:w="1778" w:type="dxa"/>
            <w:tcBorders>
              <w:top w:val="nil"/>
              <w:left w:val="nil"/>
              <w:bottom w:val="single" w:color="000000" w:sz="4" w:space="0"/>
              <w:right w:val="single" w:color="000000" w:sz="4" w:space="0"/>
            </w:tcBorders>
            <w:shd w:val="clear" w:color="auto" w:fill="auto"/>
            <w:vAlign w:val="center"/>
          </w:tcPr>
          <w:p>
            <w:pPr>
              <w:widowControl/>
              <w:jc w:val="right"/>
              <w:rPr>
                <w:rFonts w:ascii="宋体" w:hAnsi="宋体" w:cs="Arial"/>
                <w:color w:val="000000"/>
                <w:kern w:val="0"/>
                <w:sz w:val="22"/>
                <w:szCs w:val="22"/>
              </w:rPr>
            </w:pPr>
            <w:r>
              <w:rPr>
                <w:rFonts w:hint="eastAsia" w:ascii="宋体" w:hAnsi="宋体" w:cs="Arial"/>
                <w:color w:val="000000"/>
                <w:kern w:val="0"/>
                <w:sz w:val="22"/>
                <w:szCs w:val="22"/>
              </w:rPr>
              <w:t>　</w:t>
            </w:r>
          </w:p>
        </w:tc>
      </w:tr>
      <w:tr>
        <w:tblPrEx>
          <w:tblLayout w:type="fixed"/>
          <w:tblCellMar>
            <w:top w:w="0" w:type="dxa"/>
            <w:left w:w="108" w:type="dxa"/>
            <w:bottom w:w="0" w:type="dxa"/>
            <w:right w:w="108" w:type="dxa"/>
          </w:tblCellMar>
        </w:tblPrEx>
        <w:trPr>
          <w:trHeight w:val="308" w:hRule="atLeast"/>
        </w:trPr>
        <w:tc>
          <w:tcPr>
            <w:tcW w:w="14174" w:type="dxa"/>
            <w:gridSpan w:val="12"/>
            <w:tcBorders>
              <w:top w:val="nil"/>
              <w:left w:val="nil"/>
              <w:bottom w:val="nil"/>
              <w:right w:val="nil"/>
            </w:tcBorders>
            <w:shd w:val="clear" w:color="auto" w:fill="auto"/>
            <w:vAlign w:val="center"/>
          </w:tcPr>
          <w:p>
            <w:pPr>
              <w:widowControl/>
              <w:jc w:val="left"/>
              <w:rPr>
                <w:rFonts w:hint="eastAsia" w:ascii="宋体" w:hAnsi="宋体" w:cs="Arial"/>
                <w:color w:val="000000"/>
                <w:kern w:val="0"/>
                <w:sz w:val="22"/>
                <w:szCs w:val="22"/>
              </w:rPr>
            </w:pPr>
            <w:r>
              <w:rPr>
                <w:rFonts w:hint="eastAsia" w:ascii="宋体" w:hAnsi="宋体" w:cs="Arial"/>
                <w:color w:val="000000"/>
                <w:kern w:val="0"/>
                <w:sz w:val="22"/>
                <w:szCs w:val="22"/>
              </w:rPr>
              <w:t>注：本表反映部门本年度政府性基金预算财政拨款收入、支出及结转和结余情况。</w:t>
            </w:r>
          </w:p>
          <w:p>
            <w:pPr>
              <w:widowControl/>
              <w:jc w:val="left"/>
              <w:rPr>
                <w:rFonts w:hint="eastAsia" w:ascii="宋体" w:hAnsi="宋体" w:cs="Arial"/>
                <w:color w:val="000000"/>
                <w:kern w:val="0"/>
                <w:sz w:val="22"/>
                <w:szCs w:val="22"/>
              </w:rPr>
            </w:pPr>
            <w:r>
              <w:rPr>
                <w:rFonts w:hint="eastAsia" w:ascii="宋体" w:hAnsi="宋体" w:eastAsia="宋体" w:cs="宋体"/>
                <w:i w:val="0"/>
                <w:color w:val="000000"/>
                <w:kern w:val="0"/>
                <w:sz w:val="20"/>
                <w:szCs w:val="20"/>
                <w:u w:val="none"/>
                <w:lang w:val="en-US" w:eastAsia="zh-CN" w:bidi="ar"/>
              </w:rPr>
              <w:t>2017年没有政府性基金收入，也没有使用政府性基金安排的支出。</w:t>
            </w:r>
            <w:bookmarkStart w:id="0" w:name="_GoBack"/>
            <w:bookmarkEnd w:id="0"/>
          </w:p>
        </w:tc>
      </w:tr>
    </w:tbl>
    <w:p>
      <w:pPr>
        <w:outlineLvl w:val="0"/>
        <w:rPr>
          <w:rFonts w:hint="eastAsia" w:ascii="隶书" w:hAnsi="隶书" w:eastAsia="隶书" w:cs="隶书"/>
          <w:sz w:val="48"/>
          <w:szCs w:val="48"/>
        </w:rPr>
        <w:sectPr>
          <w:pgSz w:w="16838" w:h="11906" w:orient="landscape"/>
          <w:pgMar w:top="1361" w:right="1440" w:bottom="1361" w:left="1440" w:header="850" w:footer="992" w:gutter="0"/>
          <w:pgNumType w:fmt="numberInDash"/>
          <w:cols w:space="0" w:num="1"/>
          <w:docGrid w:type="lines" w:linePitch="340" w:charSpace="0"/>
        </w:sectPr>
      </w:pPr>
    </w:p>
    <w:p>
      <w:pPr>
        <w:jc w:val="center"/>
        <w:outlineLvl w:val="0"/>
        <w:rPr>
          <w:rFonts w:ascii="隶书" w:hAnsi="隶书" w:eastAsia="隶书" w:cs="隶书"/>
          <w:sz w:val="48"/>
          <w:szCs w:val="48"/>
        </w:rPr>
      </w:pPr>
      <w:r>
        <w:rPr>
          <w:rFonts w:hint="eastAsia" w:ascii="隶书" w:hAnsi="隶书" w:eastAsia="隶书" w:cs="隶书"/>
          <w:sz w:val="48"/>
          <w:szCs w:val="48"/>
        </w:rPr>
        <w:t>第三部分</w:t>
      </w:r>
    </w:p>
    <w:p>
      <w:pPr>
        <w:jc w:val="center"/>
        <w:rPr>
          <w:rFonts w:ascii="隶书" w:hAnsi="隶书" w:eastAsia="隶书" w:cs="隶书"/>
          <w:sz w:val="48"/>
          <w:szCs w:val="48"/>
        </w:rPr>
      </w:pPr>
      <w:r>
        <w:rPr>
          <w:rFonts w:hint="eastAsia" w:ascii="隶书" w:hAnsi="隶书" w:eastAsia="隶书" w:cs="隶书"/>
          <w:sz w:val="48"/>
          <w:szCs w:val="48"/>
        </w:rPr>
        <w:t>项城市地方史志编纂办公室</w:t>
      </w:r>
    </w:p>
    <w:p>
      <w:pPr>
        <w:jc w:val="center"/>
        <w:rPr>
          <w:rFonts w:ascii="隶书" w:hAnsi="隶书" w:eastAsia="隶书" w:cs="隶书"/>
          <w:sz w:val="48"/>
          <w:szCs w:val="48"/>
        </w:rPr>
      </w:pPr>
      <w:r>
        <w:rPr>
          <w:rFonts w:ascii="隶书" w:hAnsi="隶书" w:eastAsia="隶书" w:cs="隶书"/>
          <w:sz w:val="48"/>
          <w:szCs w:val="48"/>
        </w:rPr>
        <w:t>201</w:t>
      </w:r>
      <w:r>
        <w:rPr>
          <w:rFonts w:hint="eastAsia" w:ascii="隶书" w:hAnsi="隶书" w:eastAsia="隶书" w:cs="隶书"/>
          <w:sz w:val="48"/>
          <w:szCs w:val="48"/>
        </w:rPr>
        <w:t>7年度部门决算情况说明</w:t>
      </w:r>
    </w:p>
    <w:p>
      <w:pPr>
        <w:jc w:val="center"/>
        <w:rPr>
          <w:rFonts w:ascii="隶书" w:hAnsi="隶书" w:eastAsia="隶书" w:cs="隶书"/>
          <w:sz w:val="48"/>
          <w:szCs w:val="48"/>
        </w:rPr>
      </w:pPr>
    </w:p>
    <w:p>
      <w:pPr>
        <w:ind w:firstLine="640" w:firstLineChars="200"/>
        <w:jc w:val="left"/>
        <w:rPr>
          <w:rFonts w:ascii="仿宋" w:hAnsi="仿宋" w:eastAsia="仿宋"/>
          <w:sz w:val="32"/>
        </w:rPr>
      </w:pPr>
      <w:r>
        <w:rPr>
          <w:rFonts w:hint="eastAsia" w:ascii="黑体" w:hAnsi="黑体" w:eastAsia="黑体"/>
          <w:sz w:val="32"/>
        </w:rPr>
        <w:t>一、收入支出决算总体情况说明</w:t>
      </w:r>
    </w:p>
    <w:p>
      <w:pPr>
        <w:jc w:val="left"/>
        <w:rPr>
          <w:rFonts w:ascii="仿宋" w:hAnsi="仿宋" w:eastAsia="仿宋"/>
          <w:sz w:val="32"/>
        </w:rPr>
      </w:pPr>
      <w:r>
        <w:rPr>
          <w:rFonts w:hint="eastAsia" w:ascii="仿宋" w:hAnsi="仿宋" w:eastAsia="仿宋"/>
          <w:sz w:val="32"/>
        </w:rPr>
        <w:t xml:space="preserve">     2017年度收、支总计均为192.42万元。与2016年相比，收、支总计各增加68.11万元，增长54.79%。主要原因是机关人员工资福利增加、新增旧志整理和旧志重印经费。</w:t>
      </w:r>
    </w:p>
    <w:p>
      <w:pPr>
        <w:ind w:firstLine="640"/>
        <w:jc w:val="left"/>
        <w:rPr>
          <w:rFonts w:ascii="仿宋" w:hAnsi="仿宋" w:eastAsia="仿宋"/>
          <w:sz w:val="32"/>
        </w:rPr>
      </w:pPr>
      <w:r>
        <w:rPr>
          <w:rFonts w:hint="eastAsia" w:ascii="黑体" w:hAnsi="黑体" w:eastAsia="黑体"/>
          <w:sz w:val="32"/>
        </w:rPr>
        <w:t>二、收入决算情况说明</w:t>
      </w:r>
    </w:p>
    <w:p>
      <w:pPr>
        <w:ind w:firstLine="640"/>
        <w:rPr>
          <w:rFonts w:ascii="仿宋" w:hAnsi="仿宋" w:eastAsia="仿宋"/>
          <w:sz w:val="32"/>
        </w:rPr>
      </w:pPr>
      <w:r>
        <w:rPr>
          <w:rFonts w:hint="eastAsia" w:ascii="仿宋" w:hAnsi="仿宋" w:eastAsia="仿宋"/>
          <w:sz w:val="32"/>
        </w:rPr>
        <w:t>2017年度收入合计192.42万元，其中：财政拨款收入192.42万元，占100%；上级补助收入0万元，占0%；事业收入0万元，占0%；经营收入0万元，占0%；附属单位上缴收入0万元，占0%；其他收入0万元，占0%。</w:t>
      </w:r>
    </w:p>
    <w:p>
      <w:pPr>
        <w:ind w:firstLine="640"/>
        <w:jc w:val="left"/>
        <w:rPr>
          <w:rFonts w:ascii="仿宋" w:hAnsi="仿宋" w:eastAsia="仿宋"/>
          <w:sz w:val="32"/>
        </w:rPr>
      </w:pPr>
      <w:r>
        <w:rPr>
          <w:rFonts w:hint="eastAsia" w:ascii="黑体" w:hAnsi="黑体" w:eastAsia="黑体"/>
          <w:sz w:val="32"/>
        </w:rPr>
        <w:t>三、支出决算情况说明</w:t>
      </w:r>
    </w:p>
    <w:p>
      <w:pPr>
        <w:ind w:firstLine="640"/>
        <w:rPr>
          <w:rFonts w:ascii="仿宋" w:hAnsi="仿宋" w:eastAsia="仿宋"/>
          <w:sz w:val="32"/>
        </w:rPr>
      </w:pPr>
      <w:r>
        <w:rPr>
          <w:rFonts w:hint="eastAsia" w:ascii="仿宋" w:hAnsi="仿宋" w:eastAsia="仿宋"/>
          <w:sz w:val="32"/>
        </w:rPr>
        <w:t>2017年度支出合计192.42万元，其中：基本支出116.02万元，占60.3%；项目支出76.4万元，占39.7%；上缴上级支出0万元，占0%；经营支出0万元，占0%；对附属单位支出0万元，占0%。</w:t>
      </w:r>
    </w:p>
    <w:p>
      <w:pPr>
        <w:ind w:firstLine="640"/>
        <w:jc w:val="left"/>
        <w:rPr>
          <w:rFonts w:ascii="仿宋" w:hAnsi="仿宋" w:eastAsia="仿宋"/>
          <w:sz w:val="32"/>
        </w:rPr>
      </w:pPr>
      <w:r>
        <w:rPr>
          <w:rFonts w:hint="eastAsia" w:ascii="黑体" w:hAnsi="黑体" w:eastAsia="黑体"/>
          <w:sz w:val="32"/>
        </w:rPr>
        <w:t>四、财政拨款收入支出决算总体情况说明</w:t>
      </w:r>
    </w:p>
    <w:p>
      <w:pPr>
        <w:ind w:firstLine="640"/>
        <w:jc w:val="left"/>
        <w:rPr>
          <w:rFonts w:ascii="仿宋" w:hAnsi="仿宋" w:eastAsia="仿宋"/>
          <w:sz w:val="32"/>
        </w:rPr>
      </w:pPr>
      <w:r>
        <w:rPr>
          <w:rFonts w:hint="eastAsia" w:ascii="仿宋" w:hAnsi="仿宋" w:eastAsia="仿宋"/>
          <w:sz w:val="32"/>
        </w:rPr>
        <w:t>2017年财政拨款收、支总计均为192.42万元。与2016年相比，财政拨款收、支总计各增加68.11万元，增长54.79%。主要原因是机关人员工资福利增加、新增旧志整理和旧志重印经费。</w:t>
      </w:r>
    </w:p>
    <w:p>
      <w:pPr>
        <w:ind w:firstLine="640"/>
        <w:jc w:val="left"/>
        <w:rPr>
          <w:rFonts w:ascii="仿宋" w:hAnsi="仿宋" w:eastAsia="仿宋"/>
          <w:sz w:val="32"/>
        </w:rPr>
      </w:pPr>
      <w:r>
        <w:rPr>
          <w:rFonts w:hint="eastAsia" w:ascii="黑体" w:hAnsi="黑体" w:eastAsia="黑体"/>
          <w:sz w:val="32"/>
        </w:rPr>
        <w:t>五、一般公共预算财政拨款支出决算情况说明</w:t>
      </w:r>
    </w:p>
    <w:p>
      <w:pPr>
        <w:ind w:firstLine="640"/>
        <w:jc w:val="left"/>
        <w:rPr>
          <w:rFonts w:ascii="仿宋" w:hAnsi="仿宋" w:eastAsia="仿宋"/>
          <w:sz w:val="32"/>
        </w:rPr>
      </w:pPr>
      <w:r>
        <w:rPr>
          <w:rFonts w:hint="eastAsia" w:ascii="楷体" w:hAnsi="楷体" w:eastAsia="楷体"/>
          <w:sz w:val="32"/>
        </w:rPr>
        <w:t>（一）总体情况。</w:t>
      </w:r>
    </w:p>
    <w:p>
      <w:pPr>
        <w:ind w:firstLine="640"/>
        <w:jc w:val="left"/>
        <w:rPr>
          <w:rFonts w:ascii="仿宋" w:hAnsi="仿宋" w:eastAsia="仿宋"/>
          <w:sz w:val="32"/>
        </w:rPr>
      </w:pPr>
      <w:r>
        <w:rPr>
          <w:rFonts w:hint="eastAsia" w:ascii="仿宋" w:hAnsi="仿宋" w:eastAsia="仿宋"/>
          <w:sz w:val="32"/>
        </w:rPr>
        <w:t>2017年一般公共预算财政拨款支出192.42万元，占支出合计的100%。与2016年相比，一般公共预算财政拨款支出增加68.11万元，增长54.79%。变动的主要原因是机关人员工资福利增加、新增旧志整理和旧志重印经费。</w:t>
      </w:r>
    </w:p>
    <w:p>
      <w:pPr>
        <w:ind w:firstLine="640"/>
        <w:jc w:val="left"/>
        <w:rPr>
          <w:rFonts w:ascii="仿宋" w:hAnsi="仿宋" w:eastAsia="仿宋"/>
          <w:sz w:val="32"/>
        </w:rPr>
      </w:pPr>
      <w:r>
        <w:rPr>
          <w:rFonts w:hint="eastAsia" w:ascii="楷体" w:hAnsi="楷体" w:eastAsia="楷体"/>
          <w:sz w:val="32"/>
        </w:rPr>
        <w:t>（二）结构情况。</w:t>
      </w:r>
    </w:p>
    <w:p>
      <w:pPr>
        <w:ind w:firstLine="640"/>
        <w:jc w:val="left"/>
        <w:rPr>
          <w:rFonts w:ascii="仿宋" w:hAnsi="仿宋" w:eastAsia="仿宋"/>
          <w:sz w:val="32"/>
        </w:rPr>
      </w:pPr>
      <w:r>
        <w:rPr>
          <w:rFonts w:hint="eastAsia" w:ascii="仿宋" w:hAnsi="仿宋" w:eastAsia="仿宋"/>
          <w:sz w:val="32"/>
        </w:rPr>
        <w:t>2017年度一般公共预算财政拨款支出192.42万元，主要用于以下方面：一般公共服务（类）支出169.56万元，占88.12%；社会保障和就业（类）支出11.42万元，占5.93%；医疗卫生和计划生育（类）支出5.98万元，占3.11%；住房保障（类）支出5.46万元，占2.84%。</w:t>
      </w:r>
    </w:p>
    <w:p>
      <w:pPr>
        <w:ind w:firstLine="640"/>
        <w:jc w:val="left"/>
        <w:rPr>
          <w:rFonts w:ascii="仿宋" w:hAnsi="仿宋" w:eastAsia="仿宋"/>
          <w:sz w:val="32"/>
        </w:rPr>
      </w:pPr>
      <w:r>
        <w:rPr>
          <w:rFonts w:hint="eastAsia" w:ascii="楷体" w:hAnsi="楷体" w:eastAsia="楷体"/>
          <w:sz w:val="32"/>
        </w:rPr>
        <w:t>（三）具体情况。</w:t>
      </w:r>
    </w:p>
    <w:p>
      <w:pPr>
        <w:ind w:firstLine="640"/>
        <w:rPr>
          <w:rFonts w:ascii="仿宋" w:hAnsi="仿宋" w:eastAsia="仿宋"/>
          <w:sz w:val="32"/>
        </w:rPr>
      </w:pPr>
      <w:r>
        <w:rPr>
          <w:rFonts w:hint="eastAsia" w:ascii="仿宋" w:hAnsi="仿宋" w:eastAsia="仿宋"/>
          <w:sz w:val="32"/>
        </w:rPr>
        <w:t>2017年度一般公共预算财政拨款支出年初预算为119.09万元，支出决算为192.42万元，完成年初预算的161.58%。决算数与年初预算数存在差异的主要原因：一是机关人员工资福利增加，二是新增旧志整理和旧志重印经费。</w:t>
      </w:r>
    </w:p>
    <w:p>
      <w:pPr>
        <w:numPr>
          <w:ilvl w:val="0"/>
          <w:numId w:val="5"/>
        </w:numPr>
        <w:ind w:firstLine="640"/>
        <w:rPr>
          <w:rFonts w:ascii="仿宋" w:hAnsi="仿宋" w:eastAsia="仿宋"/>
          <w:sz w:val="32"/>
        </w:rPr>
      </w:pPr>
      <w:r>
        <w:rPr>
          <w:rFonts w:hint="eastAsia" w:ascii="仿宋" w:hAnsi="仿宋" w:eastAsia="仿宋"/>
          <w:sz w:val="32"/>
        </w:rPr>
        <w:t>一般公共服务（类）</w:t>
      </w:r>
      <w:r>
        <w:rPr>
          <w:rFonts w:hint="eastAsia" w:ascii="仿宋" w:hAnsi="仿宋" w:eastAsia="仿宋"/>
          <w:sz w:val="32"/>
          <w:lang w:eastAsia="zh-CN"/>
        </w:rPr>
        <w:t>政府</w:t>
      </w:r>
      <w:r>
        <w:rPr>
          <w:rFonts w:hint="eastAsia" w:ascii="仿宋" w:hAnsi="仿宋" w:eastAsia="仿宋"/>
          <w:sz w:val="32"/>
        </w:rPr>
        <w:t>事务（款）</w:t>
      </w:r>
      <w:r>
        <w:rPr>
          <w:rFonts w:hint="eastAsia" w:ascii="仿宋" w:hAnsi="仿宋" w:eastAsia="仿宋"/>
          <w:sz w:val="32"/>
          <w:lang w:eastAsia="zh-CN"/>
        </w:rPr>
        <w:t>事业</w:t>
      </w:r>
      <w:r>
        <w:rPr>
          <w:rFonts w:hint="eastAsia" w:ascii="仿宋" w:hAnsi="仿宋" w:eastAsia="仿宋"/>
          <w:sz w:val="32"/>
        </w:rPr>
        <w:t>运行（项）。年初预算为</w:t>
      </w:r>
      <w:r>
        <w:rPr>
          <w:rFonts w:hint="eastAsia" w:ascii="仿宋" w:hAnsi="仿宋" w:eastAsia="仿宋"/>
          <w:sz w:val="32"/>
          <w:lang w:val="en-US" w:eastAsia="zh-CN"/>
        </w:rPr>
        <w:t>96.23</w:t>
      </w:r>
      <w:r>
        <w:rPr>
          <w:rFonts w:hint="eastAsia" w:ascii="仿宋" w:hAnsi="仿宋" w:eastAsia="仿宋"/>
          <w:sz w:val="32"/>
        </w:rPr>
        <w:t>万元，支出决算为169.56万元，完成年初预算的</w:t>
      </w:r>
      <w:r>
        <w:rPr>
          <w:rFonts w:hint="eastAsia" w:ascii="仿宋" w:hAnsi="仿宋" w:eastAsia="仿宋"/>
          <w:sz w:val="32"/>
          <w:lang w:val="en-US" w:eastAsia="zh-CN"/>
        </w:rPr>
        <w:t>176</w:t>
      </w:r>
      <w:r>
        <w:rPr>
          <w:rFonts w:hint="eastAsia" w:ascii="仿宋" w:hAnsi="仿宋" w:eastAsia="仿宋"/>
          <w:sz w:val="32"/>
        </w:rPr>
        <w:t>%。决算数大于预算数的主要原因是</w:t>
      </w:r>
      <w:r>
        <w:rPr>
          <w:rFonts w:hint="eastAsia" w:ascii="仿宋" w:hAnsi="仿宋" w:eastAsia="仿宋"/>
          <w:sz w:val="32"/>
          <w:lang w:eastAsia="zh-CN"/>
        </w:rPr>
        <w:t>兑现</w:t>
      </w:r>
      <w:r>
        <w:rPr>
          <w:rFonts w:hint="eastAsia" w:ascii="仿宋" w:hAnsi="仿宋" w:eastAsia="仿宋"/>
          <w:sz w:val="32"/>
          <w:lang w:val="en-US" w:eastAsia="zh-CN"/>
        </w:rPr>
        <w:t>15年增资</w:t>
      </w:r>
      <w:r>
        <w:rPr>
          <w:rFonts w:hint="eastAsia" w:ascii="仿宋" w:hAnsi="仿宋" w:eastAsia="仿宋"/>
          <w:sz w:val="32"/>
        </w:rPr>
        <w:t>、新增旧志整理和旧志重印经费。</w:t>
      </w:r>
    </w:p>
    <w:p>
      <w:pPr>
        <w:ind w:firstLine="640" w:firstLineChars="200"/>
        <w:rPr>
          <w:rFonts w:ascii="仿宋" w:hAnsi="仿宋" w:eastAsia="仿宋"/>
          <w:sz w:val="32"/>
        </w:rPr>
      </w:pPr>
      <w:r>
        <w:rPr>
          <w:rFonts w:hint="eastAsia" w:ascii="仿宋" w:hAnsi="仿宋" w:eastAsia="仿宋"/>
          <w:sz w:val="32"/>
        </w:rPr>
        <w:t>2．一般公共服务（类）</w:t>
      </w:r>
      <w:r>
        <w:rPr>
          <w:rFonts w:hint="eastAsia" w:ascii="仿宋" w:hAnsi="仿宋" w:eastAsia="仿宋"/>
          <w:sz w:val="32"/>
          <w:lang w:eastAsia="zh-CN"/>
        </w:rPr>
        <w:t>政府</w:t>
      </w:r>
      <w:r>
        <w:rPr>
          <w:rFonts w:hint="eastAsia" w:ascii="仿宋" w:hAnsi="仿宋" w:eastAsia="仿宋"/>
          <w:sz w:val="32"/>
        </w:rPr>
        <w:t>事务（款）一般行政管理事务（项）。年初预算为</w:t>
      </w:r>
      <w:r>
        <w:rPr>
          <w:rFonts w:hint="eastAsia" w:ascii="仿宋" w:hAnsi="仿宋" w:eastAsia="仿宋"/>
          <w:sz w:val="32"/>
          <w:lang w:val="en-US" w:eastAsia="zh-CN"/>
        </w:rPr>
        <w:t>0</w:t>
      </w:r>
      <w:r>
        <w:rPr>
          <w:rFonts w:hint="eastAsia" w:ascii="仿宋" w:hAnsi="仿宋" w:eastAsia="仿宋"/>
          <w:sz w:val="32"/>
        </w:rPr>
        <w:t>万元，支出决算为</w:t>
      </w:r>
      <w:r>
        <w:rPr>
          <w:rFonts w:hint="eastAsia" w:ascii="仿宋" w:hAnsi="仿宋" w:eastAsia="仿宋"/>
          <w:sz w:val="32"/>
          <w:lang w:val="en-US" w:eastAsia="zh-CN"/>
        </w:rPr>
        <w:t>0</w:t>
      </w:r>
      <w:r>
        <w:rPr>
          <w:rFonts w:hint="eastAsia" w:ascii="仿宋" w:hAnsi="仿宋" w:eastAsia="仿宋"/>
          <w:sz w:val="32"/>
        </w:rPr>
        <w:t>万元，完成年初预算的</w:t>
      </w:r>
      <w:r>
        <w:rPr>
          <w:rFonts w:hint="eastAsia" w:ascii="仿宋" w:hAnsi="仿宋" w:eastAsia="仿宋"/>
          <w:sz w:val="32"/>
          <w:lang w:val="en-US" w:eastAsia="zh-CN"/>
        </w:rPr>
        <w:t>0</w:t>
      </w:r>
      <w:r>
        <w:rPr>
          <w:rFonts w:hint="eastAsia" w:ascii="仿宋" w:hAnsi="仿宋" w:eastAsia="仿宋"/>
          <w:sz w:val="32"/>
        </w:rPr>
        <w:t>%。</w:t>
      </w:r>
    </w:p>
    <w:p>
      <w:pPr>
        <w:ind w:firstLine="640" w:firstLineChars="200"/>
        <w:jc w:val="left"/>
        <w:rPr>
          <w:rFonts w:ascii="仿宋" w:hAnsi="仿宋" w:eastAsia="仿宋"/>
          <w:sz w:val="32"/>
        </w:rPr>
      </w:pPr>
      <w:r>
        <w:rPr>
          <w:rFonts w:hint="eastAsia" w:ascii="黑体" w:hAnsi="黑体" w:eastAsia="黑体"/>
          <w:sz w:val="32"/>
        </w:rPr>
        <w:t>六、一般公共预算财政拨款基本支出决算情况说明</w:t>
      </w:r>
    </w:p>
    <w:p>
      <w:pPr>
        <w:ind w:firstLine="640"/>
        <w:jc w:val="left"/>
        <w:rPr>
          <w:rFonts w:ascii="仿宋" w:hAnsi="仿宋" w:eastAsia="仿宋"/>
          <w:sz w:val="32"/>
        </w:rPr>
      </w:pPr>
      <w:r>
        <w:rPr>
          <w:rFonts w:hint="eastAsia" w:ascii="仿宋" w:hAnsi="仿宋" w:eastAsia="仿宋"/>
          <w:sz w:val="32"/>
        </w:rPr>
        <w:t>2017年一般公共预算财政拨款基本支出116.02万元。与2016年相比，增加9.71万元，增长9.14%。变动的主要原因:机关人员工资福利增加。其中：人员经费106.5万元，主要包括：基本工资、津贴补贴、</w:t>
      </w:r>
      <w:r>
        <w:rPr>
          <w:rFonts w:hint="eastAsia" w:ascii="仿宋_GB2312" w:hAnsi="宋体" w:eastAsia="仿宋_GB2312" w:cs="Courier New"/>
          <w:sz w:val="32"/>
          <w:szCs w:val="32"/>
        </w:rPr>
        <w:t>住房补贴</w:t>
      </w:r>
      <w:r>
        <w:rPr>
          <w:rFonts w:hint="eastAsia" w:ascii="仿宋" w:hAnsi="仿宋" w:eastAsia="仿宋"/>
          <w:sz w:val="32"/>
        </w:rPr>
        <w:t>；公用经费9.52万元，主要包括：办公费、</w:t>
      </w:r>
      <w:r>
        <w:rPr>
          <w:rFonts w:hint="eastAsia" w:ascii="仿宋_GB2312" w:hAnsi="宋体" w:eastAsia="仿宋_GB2312" w:cs="Courier New"/>
          <w:sz w:val="32"/>
          <w:szCs w:val="32"/>
        </w:rPr>
        <w:t>印刷费、水费、邮电费、差旅费、办公设备购置</w:t>
      </w:r>
      <w:r>
        <w:rPr>
          <w:rFonts w:hint="eastAsia" w:ascii="仿宋" w:hAnsi="仿宋" w:eastAsia="仿宋"/>
          <w:sz w:val="32"/>
        </w:rPr>
        <w:t>。</w:t>
      </w:r>
    </w:p>
    <w:p>
      <w:pPr>
        <w:ind w:firstLine="640"/>
        <w:jc w:val="left"/>
        <w:rPr>
          <w:rFonts w:ascii="仿宋" w:hAnsi="仿宋" w:eastAsia="仿宋"/>
          <w:sz w:val="32"/>
        </w:rPr>
      </w:pPr>
      <w:r>
        <w:rPr>
          <w:rFonts w:hint="eastAsia" w:ascii="黑体" w:hAnsi="黑体" w:eastAsia="黑体"/>
          <w:sz w:val="32"/>
        </w:rPr>
        <w:t>七、一般公共预算财政拨款</w:t>
      </w:r>
      <w:r>
        <w:rPr>
          <w:rFonts w:ascii="黑体" w:hAnsi="黑体" w:eastAsia="黑体"/>
          <w:sz w:val="32"/>
        </w:rPr>
        <w:t>“</w:t>
      </w:r>
      <w:r>
        <w:rPr>
          <w:rFonts w:hint="eastAsia" w:ascii="黑体" w:hAnsi="黑体" w:eastAsia="黑体"/>
          <w:sz w:val="32"/>
        </w:rPr>
        <w:t>三公</w:t>
      </w:r>
      <w:r>
        <w:rPr>
          <w:rFonts w:ascii="黑体" w:hAnsi="黑体" w:eastAsia="黑体"/>
          <w:sz w:val="32"/>
        </w:rPr>
        <w:t>”</w:t>
      </w:r>
      <w:r>
        <w:rPr>
          <w:rFonts w:hint="eastAsia" w:ascii="黑体" w:hAnsi="黑体" w:eastAsia="黑体"/>
          <w:sz w:val="32"/>
        </w:rPr>
        <w:t>经费支出决算情况说明</w:t>
      </w:r>
    </w:p>
    <w:p>
      <w:pPr>
        <w:ind w:firstLine="640"/>
        <w:jc w:val="left"/>
        <w:rPr>
          <w:rFonts w:ascii="仿宋" w:hAnsi="仿宋" w:eastAsia="仿宋"/>
          <w:sz w:val="32"/>
        </w:rPr>
      </w:pPr>
      <w:r>
        <w:rPr>
          <w:rFonts w:hint="eastAsia" w:ascii="楷体" w:hAnsi="楷体" w:eastAsia="楷体"/>
          <w:sz w:val="32"/>
        </w:rPr>
        <w:t>（一）</w:t>
      </w:r>
      <w:r>
        <w:rPr>
          <w:rFonts w:ascii="楷体" w:hAnsi="楷体" w:eastAsia="楷体"/>
          <w:sz w:val="32"/>
        </w:rPr>
        <w:t>“</w:t>
      </w:r>
      <w:r>
        <w:rPr>
          <w:rFonts w:hint="eastAsia" w:ascii="楷体" w:hAnsi="楷体" w:eastAsia="楷体"/>
          <w:sz w:val="32"/>
        </w:rPr>
        <w:t>三公</w:t>
      </w:r>
      <w:r>
        <w:rPr>
          <w:rFonts w:ascii="楷体" w:hAnsi="楷体" w:eastAsia="楷体"/>
          <w:sz w:val="32"/>
        </w:rPr>
        <w:t>”</w:t>
      </w:r>
      <w:r>
        <w:rPr>
          <w:rFonts w:hint="eastAsia" w:ascii="楷体" w:hAnsi="楷体" w:eastAsia="楷体"/>
          <w:sz w:val="32"/>
        </w:rPr>
        <w:t>经费财政拨款支出决算总体情况说明。</w:t>
      </w:r>
    </w:p>
    <w:p>
      <w:pPr>
        <w:ind w:firstLine="640"/>
        <w:rPr>
          <w:rFonts w:ascii="仿宋" w:hAnsi="仿宋" w:eastAsia="仿宋"/>
          <w:sz w:val="32"/>
        </w:rPr>
      </w:pPr>
      <w:r>
        <w:rPr>
          <w:rFonts w:hint="eastAsia" w:ascii="仿宋" w:hAnsi="仿宋" w:eastAsia="仿宋"/>
          <w:sz w:val="32"/>
        </w:rPr>
        <w:t>2017年度</w:t>
      </w:r>
      <w:r>
        <w:rPr>
          <w:rFonts w:ascii="仿宋" w:hAnsi="仿宋" w:eastAsia="仿宋"/>
          <w:sz w:val="32"/>
        </w:rPr>
        <w:t>“</w:t>
      </w:r>
      <w:r>
        <w:rPr>
          <w:rFonts w:hint="eastAsia" w:ascii="仿宋" w:hAnsi="仿宋" w:eastAsia="仿宋"/>
          <w:sz w:val="32"/>
        </w:rPr>
        <w:t>三公</w:t>
      </w:r>
      <w:r>
        <w:rPr>
          <w:rFonts w:ascii="仿宋" w:hAnsi="仿宋" w:eastAsia="仿宋"/>
          <w:sz w:val="32"/>
        </w:rPr>
        <w:t>”</w:t>
      </w:r>
      <w:r>
        <w:rPr>
          <w:rFonts w:hint="eastAsia" w:ascii="仿宋" w:hAnsi="仿宋" w:eastAsia="仿宋"/>
          <w:sz w:val="32"/>
        </w:rPr>
        <w:t>经费财政拨款支出预算为0.07万元，支出决算为0万元，完成预算的0%。</w:t>
      </w:r>
    </w:p>
    <w:p>
      <w:pPr>
        <w:ind w:firstLine="640"/>
        <w:rPr>
          <w:rFonts w:ascii="仿宋" w:hAnsi="仿宋" w:eastAsia="仿宋"/>
          <w:sz w:val="32"/>
        </w:rPr>
      </w:pPr>
      <w:r>
        <w:rPr>
          <w:rFonts w:hint="eastAsia" w:ascii="楷体" w:hAnsi="楷体" w:eastAsia="楷体"/>
          <w:sz w:val="32"/>
        </w:rPr>
        <w:t>（二）</w:t>
      </w:r>
      <w:r>
        <w:rPr>
          <w:rFonts w:ascii="楷体" w:hAnsi="楷体" w:eastAsia="楷体"/>
          <w:sz w:val="32"/>
        </w:rPr>
        <w:t>“</w:t>
      </w:r>
      <w:r>
        <w:rPr>
          <w:rFonts w:hint="eastAsia" w:ascii="楷体" w:hAnsi="楷体" w:eastAsia="楷体"/>
          <w:sz w:val="32"/>
        </w:rPr>
        <w:t>三公</w:t>
      </w:r>
      <w:r>
        <w:rPr>
          <w:rFonts w:ascii="楷体" w:hAnsi="楷体" w:eastAsia="楷体"/>
          <w:sz w:val="32"/>
        </w:rPr>
        <w:t>”</w:t>
      </w:r>
      <w:r>
        <w:rPr>
          <w:rFonts w:hint="eastAsia" w:ascii="楷体" w:hAnsi="楷体" w:eastAsia="楷体"/>
          <w:sz w:val="32"/>
        </w:rPr>
        <w:t>经费财政拨款支出决算具体情况说明。</w:t>
      </w:r>
    </w:p>
    <w:p>
      <w:pPr>
        <w:ind w:firstLine="640"/>
        <w:rPr>
          <w:rFonts w:ascii="仿宋" w:hAnsi="仿宋" w:eastAsia="仿宋"/>
          <w:sz w:val="32"/>
        </w:rPr>
      </w:pPr>
      <w:r>
        <w:rPr>
          <w:rFonts w:hint="eastAsia" w:ascii="仿宋" w:hAnsi="仿宋" w:eastAsia="仿宋"/>
          <w:sz w:val="32"/>
        </w:rPr>
        <w:t>2017年度</w:t>
      </w:r>
      <w:r>
        <w:rPr>
          <w:rFonts w:ascii="仿宋" w:hAnsi="仿宋" w:eastAsia="仿宋"/>
          <w:sz w:val="32"/>
        </w:rPr>
        <w:t>“</w:t>
      </w:r>
      <w:r>
        <w:rPr>
          <w:rFonts w:hint="eastAsia" w:ascii="仿宋" w:hAnsi="仿宋" w:eastAsia="仿宋"/>
          <w:sz w:val="32"/>
        </w:rPr>
        <w:t>三公</w:t>
      </w:r>
      <w:r>
        <w:rPr>
          <w:rFonts w:ascii="仿宋" w:hAnsi="仿宋" w:eastAsia="仿宋"/>
          <w:sz w:val="32"/>
        </w:rPr>
        <w:t>”</w:t>
      </w:r>
      <w:r>
        <w:rPr>
          <w:rFonts w:hint="eastAsia" w:ascii="仿宋" w:hAnsi="仿宋" w:eastAsia="仿宋"/>
          <w:sz w:val="32"/>
        </w:rPr>
        <w:t>经费财政拨款支出决算中，因公出国（境）费支出决算0万元，占0%，完成预算的0%；公务用车购置及运行费支出决算0万元，占0%，完成预算的0%；公务接待费支出决算0万元，占0%，完成预算的0%。</w:t>
      </w:r>
    </w:p>
    <w:p>
      <w:pPr>
        <w:ind w:firstLine="640"/>
        <w:jc w:val="left"/>
        <w:rPr>
          <w:rFonts w:ascii="仿宋" w:hAnsi="仿宋" w:eastAsia="仿宋"/>
          <w:sz w:val="32"/>
        </w:rPr>
      </w:pPr>
      <w:r>
        <w:rPr>
          <w:rFonts w:hint="eastAsia" w:ascii="仿宋" w:hAnsi="仿宋" w:eastAsia="仿宋"/>
          <w:sz w:val="32"/>
        </w:rPr>
        <w:t>1．因公出国（境）费支出0万元。全年安排河南省周口市项城市地方史志编纂办公室机关因公出国（境）团组0个，累计0人次。</w:t>
      </w:r>
    </w:p>
    <w:p>
      <w:pPr>
        <w:ind w:firstLine="640"/>
        <w:jc w:val="left"/>
        <w:rPr>
          <w:rFonts w:ascii="仿宋" w:hAnsi="仿宋" w:eastAsia="仿宋"/>
          <w:sz w:val="32"/>
        </w:rPr>
      </w:pPr>
      <w:r>
        <w:rPr>
          <w:rFonts w:hint="eastAsia" w:ascii="仿宋" w:hAnsi="仿宋" w:eastAsia="仿宋"/>
          <w:sz w:val="32"/>
        </w:rPr>
        <w:t>2．公务用车购置及运行费支出0万元。其中：</w:t>
      </w:r>
    </w:p>
    <w:p>
      <w:pPr>
        <w:ind w:firstLine="640"/>
        <w:jc w:val="left"/>
        <w:rPr>
          <w:rFonts w:ascii="仿宋" w:hAnsi="仿宋" w:eastAsia="仿宋"/>
          <w:sz w:val="32"/>
        </w:rPr>
      </w:pPr>
      <w:r>
        <w:rPr>
          <w:rFonts w:hint="eastAsia" w:ascii="仿宋" w:hAnsi="仿宋" w:eastAsia="仿宋"/>
          <w:sz w:val="32"/>
        </w:rPr>
        <w:t>公务用车购置支出为0万元。</w:t>
      </w:r>
    </w:p>
    <w:p>
      <w:pPr>
        <w:ind w:firstLine="640"/>
        <w:jc w:val="left"/>
        <w:rPr>
          <w:rFonts w:ascii="仿宋" w:hAnsi="仿宋" w:eastAsia="仿宋"/>
          <w:sz w:val="32"/>
        </w:rPr>
      </w:pPr>
      <w:r>
        <w:rPr>
          <w:rFonts w:hint="eastAsia" w:ascii="仿宋" w:hAnsi="仿宋" w:eastAsia="仿宋"/>
          <w:sz w:val="32"/>
        </w:rPr>
        <w:t>公务用车运行支出0万元。2017年期末，部门财政拨款公务用车保有量为0辆。</w:t>
      </w:r>
    </w:p>
    <w:p>
      <w:pPr>
        <w:ind w:firstLine="640"/>
        <w:jc w:val="left"/>
        <w:rPr>
          <w:rFonts w:ascii="仿宋" w:hAnsi="仿宋" w:eastAsia="仿宋"/>
          <w:sz w:val="32"/>
        </w:rPr>
      </w:pPr>
      <w:r>
        <w:rPr>
          <w:rFonts w:hint="eastAsia" w:ascii="仿宋" w:hAnsi="仿宋" w:eastAsia="仿宋"/>
          <w:sz w:val="32"/>
        </w:rPr>
        <w:t>公务用车购置运行费支出决算比2016年度增加0万元，增长0%。</w:t>
      </w:r>
    </w:p>
    <w:p>
      <w:pPr>
        <w:ind w:firstLine="640"/>
        <w:jc w:val="left"/>
        <w:rPr>
          <w:rFonts w:ascii="仿宋" w:hAnsi="仿宋" w:eastAsia="仿宋"/>
          <w:sz w:val="32"/>
        </w:rPr>
      </w:pPr>
      <w:r>
        <w:rPr>
          <w:rFonts w:hint="eastAsia" w:ascii="仿宋" w:hAnsi="仿宋" w:eastAsia="仿宋"/>
          <w:sz w:val="32"/>
        </w:rPr>
        <w:t>3．公务接待费支出0万元</w:t>
      </w:r>
    </w:p>
    <w:p>
      <w:pPr>
        <w:ind w:firstLine="640"/>
        <w:jc w:val="left"/>
        <w:rPr>
          <w:rFonts w:ascii="仿宋" w:hAnsi="仿宋" w:eastAsia="仿宋"/>
          <w:sz w:val="32"/>
        </w:rPr>
      </w:pPr>
      <w:r>
        <w:rPr>
          <w:rFonts w:hint="eastAsia" w:ascii="黑体" w:hAnsi="黑体" w:eastAsia="黑体"/>
          <w:sz w:val="32"/>
        </w:rPr>
        <w:t>八、预算绩效情况说明</w:t>
      </w:r>
    </w:p>
    <w:p>
      <w:pPr>
        <w:spacing w:beforeLines="0" w:afterLines="0"/>
        <w:ind w:firstLine="640"/>
        <w:jc w:val="left"/>
        <w:rPr>
          <w:rFonts w:hint="eastAsia" w:ascii="仿宋" w:hAnsi="仿宋" w:eastAsia="仿宋"/>
          <w:sz w:val="32"/>
        </w:rPr>
      </w:pPr>
      <w:r>
        <w:rPr>
          <w:rFonts w:hint="eastAsia" w:ascii="楷体" w:hAnsi="楷体" w:eastAsia="楷体"/>
          <w:sz w:val="32"/>
        </w:rPr>
        <w:t>（一）绩效管理工作开展情况。</w:t>
      </w:r>
    </w:p>
    <w:p>
      <w:pPr>
        <w:spacing w:line="560" w:lineRule="exact"/>
        <w:ind w:firstLine="640" w:firstLineChars="200"/>
        <w:rPr>
          <w:rFonts w:hint="eastAsia" w:ascii="仿宋" w:hAnsi="仿宋" w:eastAsia="仿宋"/>
          <w:sz w:val="32"/>
        </w:rPr>
      </w:pPr>
      <w:r>
        <w:rPr>
          <w:rFonts w:hint="eastAsia" w:ascii="仿宋_GB2312" w:hAnsi="仿宋" w:eastAsia="仿宋_GB2312"/>
          <w:color w:val="000000"/>
          <w:sz w:val="32"/>
          <w:szCs w:val="32"/>
        </w:rPr>
        <w:t>我</w:t>
      </w:r>
      <w:r>
        <w:rPr>
          <w:rFonts w:hint="eastAsia" w:ascii="仿宋_GB2312" w:hAnsi="仿宋" w:eastAsia="仿宋_GB2312"/>
          <w:color w:val="000000"/>
          <w:sz w:val="32"/>
          <w:szCs w:val="32"/>
          <w:lang w:eastAsia="zh-CN"/>
        </w:rPr>
        <w:t>单位</w:t>
      </w:r>
      <w:r>
        <w:rPr>
          <w:rFonts w:hint="eastAsia" w:ascii="仿宋_GB2312" w:hAnsi="仿宋" w:eastAsia="仿宋_GB2312"/>
          <w:color w:val="000000"/>
          <w:sz w:val="32"/>
          <w:szCs w:val="32"/>
        </w:rPr>
        <w:t>在上级财政的精心指导下，结合我市实际，按照先易后难、简便有效的原则，采取以点带面的方法，以预算绩效目标管理为切入点，以建立财政支出绩效目标管理体系为目标，积极探索和实践，做好预算绩效管理工作，主要是：完善预算绩效管理机制，将绩效目标融入预算管理；完善预算绩效监督机制，加强绩效目标编制和绩效跟踪管理；完善预算绩效评价机制，实施事前事后绩效评价和再评价；完善预算绩效考核机制，增强预算单位责任感。</w:t>
      </w:r>
    </w:p>
    <w:p>
      <w:pPr>
        <w:numPr>
          <w:ilvl w:val="0"/>
          <w:numId w:val="6"/>
        </w:numPr>
        <w:spacing w:beforeLines="0" w:afterLines="0"/>
        <w:ind w:firstLine="640"/>
        <w:jc w:val="left"/>
        <w:rPr>
          <w:rFonts w:hint="eastAsia" w:ascii="楷体" w:hAnsi="楷体" w:eastAsia="楷体"/>
          <w:sz w:val="32"/>
        </w:rPr>
      </w:pPr>
      <w:r>
        <w:rPr>
          <w:rFonts w:hint="eastAsia" w:ascii="楷体" w:hAnsi="楷体" w:eastAsia="楷体"/>
          <w:sz w:val="32"/>
        </w:rPr>
        <w:t>项目绩效自评结果。</w:t>
      </w:r>
    </w:p>
    <w:p>
      <w:pPr>
        <w:numPr>
          <w:ilvl w:val="0"/>
          <w:numId w:val="0"/>
        </w:numPr>
        <w:spacing w:beforeLines="0" w:afterLines="0"/>
        <w:ind w:firstLine="640" w:firstLineChars="200"/>
        <w:jc w:val="left"/>
        <w:rPr>
          <w:rFonts w:hint="eastAsia" w:ascii="仿宋" w:hAnsi="仿宋" w:eastAsia="仿宋"/>
          <w:sz w:val="32"/>
        </w:rPr>
      </w:pPr>
      <w:r>
        <w:rPr>
          <w:rFonts w:hint="eastAsia" w:ascii="仿宋" w:hAnsi="仿宋" w:eastAsia="仿宋" w:cs="仿宋"/>
          <w:color w:val="000000"/>
          <w:sz w:val="32"/>
          <w:szCs w:val="32"/>
          <w:lang w:eastAsia="zh-CN"/>
        </w:rPr>
        <w:t>我单位</w:t>
      </w:r>
      <w:r>
        <w:rPr>
          <w:rFonts w:hint="eastAsia" w:ascii="仿宋" w:hAnsi="仿宋" w:eastAsia="仿宋" w:cs="仿宋"/>
          <w:color w:val="000000"/>
          <w:sz w:val="32"/>
          <w:szCs w:val="32"/>
        </w:rPr>
        <w:t>成立了由主要负责人担任组长，</w:t>
      </w:r>
      <w:r>
        <w:rPr>
          <w:rFonts w:hint="eastAsia" w:ascii="仿宋" w:hAnsi="仿宋" w:eastAsia="仿宋" w:cs="仿宋"/>
          <w:color w:val="000000"/>
          <w:sz w:val="32"/>
          <w:szCs w:val="32"/>
          <w:lang w:eastAsia="zh-CN"/>
        </w:rPr>
        <w:t>副职</w:t>
      </w:r>
      <w:r>
        <w:rPr>
          <w:rFonts w:hint="eastAsia" w:ascii="仿宋" w:hAnsi="仿宋" w:eastAsia="仿宋" w:cs="仿宋"/>
          <w:color w:val="000000"/>
          <w:sz w:val="32"/>
          <w:szCs w:val="32"/>
        </w:rPr>
        <w:t>担任副组长的部门预算绩效管理工作领导小组，领导小组下设办公室</w:t>
      </w:r>
      <w:r>
        <w:rPr>
          <w:rFonts w:hint="eastAsia" w:ascii="仿宋" w:hAnsi="仿宋" w:eastAsia="仿宋" w:cs="仿宋"/>
          <w:color w:val="000000"/>
          <w:sz w:val="32"/>
          <w:szCs w:val="32"/>
          <w:lang w:eastAsia="zh-CN"/>
        </w:rPr>
        <w:t>，</w:t>
      </w:r>
      <w:r>
        <w:rPr>
          <w:rFonts w:hint="eastAsia" w:ascii="仿宋" w:hAnsi="仿宋" w:eastAsia="仿宋" w:cs="仿宋"/>
          <w:color w:val="000000"/>
          <w:sz w:val="32"/>
          <w:szCs w:val="32"/>
        </w:rPr>
        <w:t>积极推进我局预算绩效管理工作，加强预算绩效组织体系建设。根据设定的项目绩效目标，运用科学、合理的绩效评价指标、评价标准和评价方法，对项目支出的经济性、效率性和效益性进行客观、公正的评价。</w:t>
      </w:r>
    </w:p>
    <w:p>
      <w:pPr>
        <w:ind w:firstLine="640"/>
        <w:jc w:val="left"/>
        <w:rPr>
          <w:rFonts w:ascii="仿宋" w:hAnsi="仿宋" w:eastAsia="仿宋"/>
          <w:sz w:val="32"/>
        </w:rPr>
      </w:pPr>
      <w:r>
        <w:rPr>
          <w:rFonts w:hint="eastAsia" w:ascii="黑体" w:hAnsi="黑体" w:eastAsia="黑体"/>
          <w:sz w:val="32"/>
        </w:rPr>
        <w:t>九、政府性基金预算财政拨款支出决算情况说明</w:t>
      </w:r>
    </w:p>
    <w:p>
      <w:pPr>
        <w:ind w:firstLine="640"/>
        <w:rPr>
          <w:rFonts w:ascii="仿宋" w:hAnsi="仿宋" w:eastAsia="仿宋"/>
          <w:sz w:val="32"/>
        </w:rPr>
      </w:pPr>
      <w:r>
        <w:rPr>
          <w:rFonts w:hint="eastAsia" w:ascii="仿宋" w:hAnsi="仿宋" w:eastAsia="仿宋"/>
          <w:sz w:val="32"/>
        </w:rPr>
        <w:t>2017年度政府性基金预算财政拨款支出年初预算为0万元，支出决算为0万元，完成年初预算的0%。</w:t>
      </w:r>
    </w:p>
    <w:p>
      <w:pPr>
        <w:ind w:firstLine="640"/>
        <w:jc w:val="left"/>
        <w:rPr>
          <w:rFonts w:ascii="仿宋" w:hAnsi="仿宋" w:eastAsia="仿宋"/>
          <w:sz w:val="32"/>
        </w:rPr>
      </w:pPr>
      <w:r>
        <w:rPr>
          <w:rFonts w:hint="eastAsia" w:ascii="黑体" w:hAnsi="黑体" w:eastAsia="黑体"/>
          <w:sz w:val="32"/>
        </w:rPr>
        <w:t>十、机关运行经费支出情况说明</w:t>
      </w:r>
    </w:p>
    <w:p>
      <w:pPr>
        <w:ind w:firstLine="640"/>
        <w:rPr>
          <w:rFonts w:ascii="仿宋" w:hAnsi="仿宋" w:eastAsia="仿宋"/>
          <w:sz w:val="32"/>
        </w:rPr>
      </w:pPr>
      <w:r>
        <w:rPr>
          <w:rFonts w:hint="eastAsia" w:ascii="仿宋" w:hAnsi="仿宋" w:eastAsia="仿宋"/>
          <w:sz w:val="32"/>
        </w:rPr>
        <w:t>2017年度机关运行经费支出9.52万元，较2016年度减少16.37万元，下降63.23%。减少的主要原因是：压缩办公经费、外出学习经费。</w:t>
      </w:r>
    </w:p>
    <w:p>
      <w:pPr>
        <w:ind w:firstLine="640"/>
        <w:jc w:val="left"/>
        <w:rPr>
          <w:rFonts w:ascii="仿宋" w:hAnsi="仿宋" w:eastAsia="仿宋"/>
          <w:sz w:val="32"/>
        </w:rPr>
      </w:pPr>
      <w:r>
        <w:rPr>
          <w:rFonts w:hint="eastAsia" w:ascii="黑体" w:hAnsi="黑体" w:eastAsia="黑体"/>
          <w:sz w:val="32"/>
        </w:rPr>
        <w:t>十一、政府采购支出情况说明</w:t>
      </w:r>
    </w:p>
    <w:p>
      <w:pPr>
        <w:ind w:firstLine="640"/>
        <w:rPr>
          <w:rFonts w:ascii="仿宋" w:hAnsi="仿宋" w:eastAsia="仿宋"/>
          <w:sz w:val="32"/>
        </w:rPr>
      </w:pPr>
      <w:r>
        <w:rPr>
          <w:rFonts w:hint="eastAsia" w:ascii="仿宋" w:hAnsi="仿宋" w:eastAsia="仿宋"/>
          <w:sz w:val="32"/>
        </w:rPr>
        <w:t>2017年度政府采购支出总额0万元，其中：政府采购货物支出0万元，政府采购工程支出0万元，政府采购服务支出0万元。</w:t>
      </w:r>
    </w:p>
    <w:p>
      <w:pPr>
        <w:ind w:firstLine="640"/>
        <w:jc w:val="left"/>
        <w:rPr>
          <w:rFonts w:ascii="仿宋" w:hAnsi="仿宋" w:eastAsia="仿宋"/>
          <w:sz w:val="32"/>
        </w:rPr>
      </w:pPr>
      <w:r>
        <w:rPr>
          <w:rFonts w:hint="eastAsia" w:ascii="黑体" w:hAnsi="黑体" w:eastAsia="黑体"/>
          <w:sz w:val="32"/>
        </w:rPr>
        <w:t>十二、国有资产占用情况说明</w:t>
      </w:r>
    </w:p>
    <w:p>
      <w:pPr>
        <w:ind w:firstLine="640"/>
        <w:jc w:val="left"/>
        <w:rPr>
          <w:rFonts w:hint="eastAsia" w:ascii="仿宋" w:hAnsi="仿宋" w:eastAsia="仿宋"/>
          <w:sz w:val="32"/>
        </w:rPr>
      </w:pPr>
      <w:r>
        <w:rPr>
          <w:rFonts w:hint="eastAsia" w:ascii="仿宋" w:hAnsi="仿宋" w:eastAsia="仿宋"/>
          <w:sz w:val="32"/>
        </w:rPr>
        <w:t>2017年期末，河南省周口市项城市地方史志编纂办公室共有车辆0辆，其中：一般公务用车0辆、一般执法执勤用车0辆、特种专业技术用车0辆，其他用车0辆；单位价值50万元以上通用设备0台（套），单位价值100万元以上专用设备0台（套）。</w:t>
      </w:r>
    </w:p>
    <w:p>
      <w:pPr>
        <w:numPr>
          <w:ilvl w:val="0"/>
          <w:numId w:val="0"/>
        </w:numPr>
        <w:spacing w:beforeLines="0" w:afterLines="0"/>
        <w:ind w:firstLine="640" w:firstLineChars="200"/>
        <w:jc w:val="left"/>
        <w:rPr>
          <w:rFonts w:hint="eastAsia" w:ascii="仿宋" w:hAnsi="仿宋" w:eastAsia="仿宋"/>
          <w:sz w:val="32"/>
        </w:rPr>
      </w:pPr>
      <w:r>
        <w:rPr>
          <w:rFonts w:hint="eastAsia" w:ascii="黑体" w:hAnsi="黑体" w:eastAsia="黑体" w:cs="黑体"/>
          <w:sz w:val="32"/>
          <w:lang w:eastAsia="zh-CN"/>
        </w:rPr>
        <w:t>十三、</w:t>
      </w:r>
      <w:r>
        <w:rPr>
          <w:rFonts w:hint="eastAsia" w:ascii="黑体" w:hAnsi="黑体" w:eastAsia="黑体" w:cs="黑体"/>
          <w:sz w:val="32"/>
        </w:rPr>
        <w:t>重点项目预算的绩效目标等预算绩效情况说明</w:t>
      </w:r>
      <w:r>
        <w:rPr>
          <w:rFonts w:hint="eastAsia" w:ascii="仿宋" w:hAnsi="仿宋" w:eastAsia="仿宋"/>
          <w:sz w:val="32"/>
        </w:rPr>
        <w:t xml:space="preserve">   </w:t>
      </w:r>
    </w:p>
    <w:p>
      <w:pPr>
        <w:numPr>
          <w:ilvl w:val="0"/>
          <w:numId w:val="0"/>
        </w:numPr>
        <w:spacing w:beforeLines="0" w:afterLines="0"/>
        <w:ind w:firstLine="640" w:firstLineChars="200"/>
        <w:jc w:val="left"/>
        <w:rPr>
          <w:rFonts w:hint="eastAsia" w:ascii="仿宋" w:hAnsi="仿宋" w:eastAsia="仿宋"/>
          <w:sz w:val="32"/>
        </w:rPr>
      </w:pPr>
      <w:r>
        <w:rPr>
          <w:rFonts w:hint="eastAsia" w:ascii="仿宋" w:hAnsi="仿宋" w:eastAsia="仿宋"/>
          <w:sz w:val="32"/>
        </w:rPr>
        <w:t>201</w:t>
      </w:r>
      <w:r>
        <w:rPr>
          <w:rFonts w:hint="eastAsia" w:ascii="仿宋" w:hAnsi="仿宋" w:eastAsia="仿宋"/>
          <w:sz w:val="32"/>
          <w:lang w:val="en-US" w:eastAsia="zh-CN"/>
        </w:rPr>
        <w:t>7</w:t>
      </w:r>
      <w:r>
        <w:rPr>
          <w:rFonts w:hint="eastAsia" w:ascii="仿宋" w:hAnsi="仿宋" w:eastAsia="仿宋"/>
          <w:sz w:val="32"/>
        </w:rPr>
        <w:t>年度，本单位没有民生项目和重点支出项目，未开展预算绩效评价</w:t>
      </w:r>
      <w:r>
        <w:rPr>
          <w:rFonts w:hint="eastAsia" w:ascii="仿宋" w:hAnsi="仿宋" w:eastAsia="仿宋"/>
          <w:sz w:val="32"/>
          <w:lang w:eastAsia="zh-CN"/>
        </w:rPr>
        <w:t>。</w:t>
      </w:r>
    </w:p>
    <w:p>
      <w:pPr>
        <w:jc w:val="left"/>
        <w:rPr>
          <w:rFonts w:ascii="仿宋" w:hAnsi="仿宋" w:eastAsia="仿宋"/>
          <w:sz w:val="32"/>
        </w:rPr>
      </w:pPr>
      <w:r>
        <w:rPr>
          <w:rFonts w:hint="eastAsia" w:ascii="仿宋" w:hAnsi="仿宋" w:eastAsia="仿宋"/>
          <w:sz w:val="32"/>
        </w:rPr>
        <w:t xml:space="preserve">    </w:t>
      </w:r>
      <w:r>
        <w:rPr>
          <w:rFonts w:hint="eastAsia" w:ascii="黑体" w:hAnsi="黑体" w:eastAsia="黑体"/>
          <w:sz w:val="32"/>
        </w:rPr>
        <w:t>十</w:t>
      </w:r>
      <w:r>
        <w:rPr>
          <w:rFonts w:hint="eastAsia" w:ascii="黑体" w:hAnsi="黑体" w:eastAsia="黑体"/>
          <w:sz w:val="32"/>
          <w:lang w:eastAsia="zh-CN"/>
        </w:rPr>
        <w:t>四</w:t>
      </w:r>
      <w:r>
        <w:rPr>
          <w:rFonts w:hint="eastAsia" w:ascii="黑体" w:hAnsi="黑体" w:eastAsia="黑体"/>
          <w:sz w:val="32"/>
        </w:rPr>
        <w:t>、其他重要事项的情况说明</w:t>
      </w:r>
    </w:p>
    <w:p>
      <w:pPr>
        <w:jc w:val="left"/>
        <w:rPr>
          <w:rFonts w:hint="eastAsia" w:ascii="黑体" w:hAnsi="黑体" w:eastAsia="仿宋" w:cs="黑体"/>
          <w:sz w:val="32"/>
          <w:szCs w:val="32"/>
          <w:lang w:eastAsia="zh-CN"/>
        </w:rPr>
      </w:pPr>
      <w:r>
        <w:rPr>
          <w:rFonts w:hint="eastAsia" w:ascii="仿宋" w:hAnsi="仿宋" w:eastAsia="仿宋"/>
          <w:sz w:val="32"/>
        </w:rPr>
        <w:t xml:space="preserve">    </w:t>
      </w:r>
      <w:r>
        <w:rPr>
          <w:rFonts w:hint="eastAsia" w:ascii="仿宋" w:hAnsi="仿宋" w:eastAsia="仿宋"/>
          <w:sz w:val="32"/>
          <w:lang w:eastAsia="zh-CN"/>
        </w:rPr>
        <w:t>无</w:t>
      </w:r>
    </w:p>
    <w:p>
      <w:pPr>
        <w:jc w:val="left"/>
        <w:rPr>
          <w:rFonts w:ascii="黑体" w:hAnsi="黑体" w:eastAsia="黑体" w:cs="黑体"/>
          <w:sz w:val="32"/>
          <w:szCs w:val="32"/>
        </w:rPr>
      </w:pPr>
    </w:p>
    <w:p>
      <w:pPr>
        <w:jc w:val="both"/>
        <w:rPr>
          <w:rFonts w:ascii="隶书" w:hAnsi="隶书" w:eastAsia="隶书" w:cs="隶书"/>
          <w:sz w:val="48"/>
          <w:szCs w:val="48"/>
        </w:rPr>
        <w:sectPr>
          <w:pgSz w:w="11906" w:h="16838"/>
          <w:pgMar w:top="1440" w:right="1361" w:bottom="1440" w:left="1361" w:header="850" w:footer="992" w:gutter="0"/>
          <w:pgNumType w:fmt="numberInDash"/>
          <w:cols w:space="0" w:num="1"/>
          <w:docGrid w:type="lines" w:linePitch="340" w:charSpace="0"/>
        </w:sectPr>
      </w:pPr>
    </w:p>
    <w:p>
      <w:pPr>
        <w:numPr>
          <w:ilvl w:val="0"/>
          <w:numId w:val="0"/>
        </w:numPr>
        <w:jc w:val="both"/>
        <w:outlineLvl w:val="0"/>
        <w:rPr>
          <w:rFonts w:hint="eastAsia" w:ascii="隶书" w:hAnsi="隶书" w:eastAsia="隶书" w:cs="隶书"/>
          <w:sz w:val="48"/>
          <w:szCs w:val="48"/>
        </w:rPr>
      </w:pPr>
    </w:p>
    <w:p>
      <w:pPr>
        <w:numPr>
          <w:ilvl w:val="0"/>
          <w:numId w:val="7"/>
        </w:numPr>
        <w:ind w:firstLine="1920" w:firstLineChars="400"/>
        <w:jc w:val="both"/>
        <w:outlineLvl w:val="0"/>
        <w:rPr>
          <w:rFonts w:hint="eastAsia" w:ascii="隶书" w:hAnsi="隶书" w:eastAsia="隶书" w:cs="隶书"/>
          <w:sz w:val="48"/>
          <w:szCs w:val="48"/>
        </w:rPr>
      </w:pPr>
      <w:r>
        <w:rPr>
          <w:rFonts w:hint="eastAsia" w:ascii="隶书" w:hAnsi="隶书" w:eastAsia="隶书" w:cs="隶书"/>
          <w:sz w:val="48"/>
          <w:szCs w:val="48"/>
        </w:rPr>
        <w:t>　名词解释</w:t>
      </w:r>
    </w:p>
    <w:p>
      <w:pPr>
        <w:widowControl w:val="0"/>
        <w:numPr>
          <w:ilvl w:val="0"/>
          <w:numId w:val="0"/>
        </w:numPr>
        <w:jc w:val="both"/>
        <w:outlineLvl w:val="0"/>
        <w:rPr>
          <w:rFonts w:hint="eastAsia" w:ascii="隶书" w:hAnsi="隶书" w:eastAsia="隶书" w:cs="隶书"/>
          <w:sz w:val="48"/>
          <w:szCs w:val="48"/>
        </w:rPr>
      </w:pPr>
    </w:p>
    <w:p>
      <w:pPr>
        <w:widowControl w:val="0"/>
        <w:numPr>
          <w:ilvl w:val="0"/>
          <w:numId w:val="0"/>
        </w:numPr>
        <w:jc w:val="both"/>
        <w:outlineLvl w:val="0"/>
        <w:rPr>
          <w:rFonts w:hint="eastAsia" w:ascii="隶书" w:hAnsi="隶书" w:eastAsia="隶书" w:cs="隶书"/>
          <w:sz w:val="48"/>
          <w:szCs w:val="48"/>
        </w:rPr>
      </w:pPr>
    </w:p>
    <w:p>
      <w:pPr>
        <w:widowControl w:val="0"/>
        <w:numPr>
          <w:ilvl w:val="0"/>
          <w:numId w:val="0"/>
        </w:numPr>
        <w:jc w:val="both"/>
        <w:outlineLvl w:val="0"/>
        <w:rPr>
          <w:rFonts w:hint="eastAsia" w:ascii="隶书" w:hAnsi="隶书" w:eastAsia="隶书" w:cs="隶书"/>
          <w:sz w:val="48"/>
          <w:szCs w:val="48"/>
        </w:rPr>
      </w:pPr>
    </w:p>
    <w:p>
      <w:pPr>
        <w:widowControl w:val="0"/>
        <w:numPr>
          <w:ilvl w:val="0"/>
          <w:numId w:val="0"/>
        </w:numPr>
        <w:jc w:val="both"/>
        <w:outlineLvl w:val="0"/>
        <w:rPr>
          <w:rFonts w:hint="eastAsia" w:ascii="隶书" w:hAnsi="隶书" w:eastAsia="隶书" w:cs="隶书"/>
          <w:sz w:val="48"/>
          <w:szCs w:val="48"/>
        </w:rPr>
      </w:pPr>
    </w:p>
    <w:p>
      <w:pPr>
        <w:widowControl w:val="0"/>
        <w:numPr>
          <w:ilvl w:val="0"/>
          <w:numId w:val="0"/>
        </w:numPr>
        <w:jc w:val="both"/>
        <w:outlineLvl w:val="0"/>
        <w:rPr>
          <w:rFonts w:hint="eastAsia" w:ascii="隶书" w:hAnsi="隶书" w:eastAsia="隶书" w:cs="隶书"/>
          <w:sz w:val="48"/>
          <w:szCs w:val="48"/>
        </w:rPr>
      </w:pPr>
    </w:p>
    <w:p>
      <w:pPr>
        <w:widowControl w:val="0"/>
        <w:numPr>
          <w:ilvl w:val="0"/>
          <w:numId w:val="0"/>
        </w:numPr>
        <w:jc w:val="both"/>
        <w:outlineLvl w:val="0"/>
        <w:rPr>
          <w:rFonts w:hint="eastAsia" w:ascii="隶书" w:hAnsi="隶书" w:eastAsia="隶书" w:cs="隶书"/>
          <w:sz w:val="48"/>
          <w:szCs w:val="48"/>
        </w:rPr>
      </w:pPr>
    </w:p>
    <w:p>
      <w:pPr>
        <w:widowControl w:val="0"/>
        <w:numPr>
          <w:ilvl w:val="0"/>
          <w:numId w:val="0"/>
        </w:numPr>
        <w:jc w:val="both"/>
        <w:outlineLvl w:val="0"/>
        <w:rPr>
          <w:rFonts w:hint="eastAsia" w:ascii="隶书" w:hAnsi="隶书" w:eastAsia="隶书" w:cs="隶书"/>
          <w:sz w:val="48"/>
          <w:szCs w:val="48"/>
        </w:rPr>
      </w:pPr>
    </w:p>
    <w:p>
      <w:pPr>
        <w:widowControl w:val="0"/>
        <w:numPr>
          <w:ilvl w:val="0"/>
          <w:numId w:val="0"/>
        </w:numPr>
        <w:jc w:val="both"/>
        <w:outlineLvl w:val="0"/>
        <w:rPr>
          <w:rFonts w:hint="eastAsia" w:ascii="隶书" w:hAnsi="隶书" w:eastAsia="隶书" w:cs="隶书"/>
          <w:sz w:val="48"/>
          <w:szCs w:val="48"/>
        </w:rPr>
      </w:pPr>
    </w:p>
    <w:p>
      <w:pPr>
        <w:widowControl w:val="0"/>
        <w:numPr>
          <w:ilvl w:val="0"/>
          <w:numId w:val="0"/>
        </w:numPr>
        <w:jc w:val="both"/>
        <w:outlineLvl w:val="0"/>
        <w:rPr>
          <w:rFonts w:hint="eastAsia" w:ascii="隶书" w:hAnsi="隶书" w:eastAsia="隶书" w:cs="隶书"/>
          <w:sz w:val="48"/>
          <w:szCs w:val="48"/>
        </w:rPr>
      </w:pPr>
    </w:p>
    <w:p>
      <w:pPr>
        <w:widowControl w:val="0"/>
        <w:numPr>
          <w:ilvl w:val="0"/>
          <w:numId w:val="0"/>
        </w:numPr>
        <w:jc w:val="both"/>
        <w:outlineLvl w:val="0"/>
        <w:rPr>
          <w:rFonts w:hint="eastAsia" w:ascii="隶书" w:hAnsi="隶书" w:eastAsia="隶书" w:cs="隶书"/>
          <w:sz w:val="48"/>
          <w:szCs w:val="48"/>
        </w:rPr>
      </w:pPr>
    </w:p>
    <w:p>
      <w:pPr>
        <w:widowControl w:val="0"/>
        <w:numPr>
          <w:ilvl w:val="0"/>
          <w:numId w:val="0"/>
        </w:numPr>
        <w:jc w:val="both"/>
        <w:outlineLvl w:val="0"/>
        <w:rPr>
          <w:rFonts w:hint="eastAsia" w:ascii="隶书" w:hAnsi="隶书" w:eastAsia="隶书" w:cs="隶书"/>
          <w:sz w:val="48"/>
          <w:szCs w:val="48"/>
        </w:rPr>
      </w:pPr>
    </w:p>
    <w:p>
      <w:pPr>
        <w:widowControl w:val="0"/>
        <w:numPr>
          <w:ilvl w:val="0"/>
          <w:numId w:val="0"/>
        </w:numPr>
        <w:jc w:val="both"/>
        <w:outlineLvl w:val="0"/>
        <w:rPr>
          <w:rFonts w:hint="eastAsia" w:ascii="隶书" w:hAnsi="隶书" w:eastAsia="隶书" w:cs="隶书"/>
          <w:sz w:val="48"/>
          <w:szCs w:val="48"/>
        </w:rPr>
      </w:pPr>
    </w:p>
    <w:p>
      <w:pPr>
        <w:widowControl w:val="0"/>
        <w:numPr>
          <w:ilvl w:val="0"/>
          <w:numId w:val="0"/>
        </w:numPr>
        <w:jc w:val="both"/>
        <w:outlineLvl w:val="0"/>
        <w:rPr>
          <w:rFonts w:hint="eastAsia" w:ascii="隶书" w:hAnsi="隶书" w:eastAsia="隶书" w:cs="隶书"/>
          <w:sz w:val="48"/>
          <w:szCs w:val="48"/>
        </w:rPr>
      </w:pPr>
    </w:p>
    <w:p>
      <w:pPr>
        <w:widowControl w:val="0"/>
        <w:numPr>
          <w:ilvl w:val="0"/>
          <w:numId w:val="0"/>
        </w:numPr>
        <w:jc w:val="both"/>
        <w:outlineLvl w:val="0"/>
        <w:rPr>
          <w:rFonts w:hint="eastAsia" w:ascii="隶书" w:hAnsi="隶书" w:eastAsia="隶书" w:cs="隶书"/>
          <w:sz w:val="48"/>
          <w:szCs w:val="48"/>
        </w:rPr>
      </w:pPr>
    </w:p>
    <w:p>
      <w:pPr>
        <w:widowControl w:val="0"/>
        <w:numPr>
          <w:ilvl w:val="0"/>
          <w:numId w:val="0"/>
        </w:numPr>
        <w:jc w:val="both"/>
        <w:outlineLvl w:val="0"/>
        <w:rPr>
          <w:rFonts w:hint="eastAsia" w:ascii="隶书" w:hAnsi="隶书" w:eastAsia="隶书" w:cs="隶书"/>
          <w:sz w:val="48"/>
          <w:szCs w:val="48"/>
        </w:rPr>
      </w:pPr>
    </w:p>
    <w:p>
      <w:pPr>
        <w:widowControl w:val="0"/>
        <w:numPr>
          <w:ilvl w:val="0"/>
          <w:numId w:val="0"/>
        </w:numPr>
        <w:jc w:val="both"/>
        <w:outlineLvl w:val="0"/>
        <w:rPr>
          <w:rFonts w:hint="eastAsia" w:ascii="隶书" w:hAnsi="隶书" w:eastAsia="隶书" w:cs="隶书"/>
          <w:sz w:val="48"/>
          <w:szCs w:val="48"/>
        </w:rPr>
      </w:pPr>
    </w:p>
    <w:p>
      <w:pPr>
        <w:widowControl w:val="0"/>
        <w:numPr>
          <w:ilvl w:val="0"/>
          <w:numId w:val="0"/>
        </w:numPr>
        <w:jc w:val="both"/>
        <w:outlineLvl w:val="0"/>
        <w:rPr>
          <w:rFonts w:hint="eastAsia" w:ascii="隶书" w:hAnsi="隶书" w:eastAsia="隶书" w:cs="隶书"/>
          <w:sz w:val="48"/>
          <w:szCs w:val="48"/>
        </w:rPr>
      </w:pPr>
    </w:p>
    <w:p>
      <w:pPr>
        <w:widowControl w:val="0"/>
        <w:numPr>
          <w:ilvl w:val="0"/>
          <w:numId w:val="0"/>
        </w:numPr>
        <w:jc w:val="both"/>
        <w:outlineLvl w:val="0"/>
        <w:rPr>
          <w:rFonts w:hint="eastAsia" w:ascii="隶书" w:hAnsi="隶书" w:eastAsia="隶书" w:cs="隶书"/>
          <w:sz w:val="48"/>
          <w:szCs w:val="48"/>
        </w:rPr>
      </w:pPr>
    </w:p>
    <w:p>
      <w:pPr>
        <w:outlineLvl w:val="0"/>
        <w:rPr>
          <w:rFonts w:ascii="隶书" w:hAnsi="隶书" w:eastAsia="隶书" w:cs="隶书"/>
          <w:sz w:val="48"/>
          <w:szCs w:val="48"/>
        </w:rPr>
      </w:pPr>
    </w:p>
    <w:p>
      <w:pPr>
        <w:kinsoku w:val="0"/>
        <w:overflowPunct w:val="0"/>
        <w:autoSpaceDE w:val="0"/>
        <w:autoSpaceDN w:val="0"/>
        <w:adjustRightInd w:val="0"/>
        <w:snapToGrid w:val="0"/>
        <w:spacing w:line="360" w:lineRule="auto"/>
        <w:ind w:firstLine="643" w:firstLineChars="200"/>
        <w:rPr>
          <w:rFonts w:ascii="仿宋_GB2312" w:hAnsi="宋体" w:eastAsia="仿宋_GB2312" w:cs="Courier New"/>
          <w:sz w:val="32"/>
          <w:szCs w:val="32"/>
        </w:rPr>
      </w:pPr>
      <w:r>
        <w:rPr>
          <w:rFonts w:hint="eastAsia" w:ascii="仿宋_GB2312" w:hAnsi="宋体" w:eastAsia="仿宋_GB2312" w:cs="Courier New"/>
          <w:b/>
          <w:bCs/>
          <w:sz w:val="32"/>
          <w:szCs w:val="32"/>
        </w:rPr>
        <w:t>一、财政拨款收入：</w:t>
      </w:r>
      <w:r>
        <w:rPr>
          <w:rFonts w:hint="eastAsia" w:ascii="仿宋_GB2312" w:hAnsi="宋体" w:eastAsia="仿宋_GB2312" w:cs="Courier New"/>
          <w:sz w:val="32"/>
          <w:szCs w:val="32"/>
        </w:rPr>
        <w:t>指省级财政当年拨付的资金。</w:t>
      </w:r>
    </w:p>
    <w:p>
      <w:pPr>
        <w:kinsoku w:val="0"/>
        <w:overflowPunct w:val="0"/>
        <w:autoSpaceDE w:val="0"/>
        <w:autoSpaceDN w:val="0"/>
        <w:adjustRightInd w:val="0"/>
        <w:snapToGrid w:val="0"/>
        <w:spacing w:line="360" w:lineRule="auto"/>
        <w:ind w:firstLine="643" w:firstLineChars="200"/>
        <w:rPr>
          <w:rFonts w:ascii="仿宋_GB2312" w:hAnsi="宋体" w:eastAsia="仿宋_GB2312" w:cs="Courier New"/>
          <w:sz w:val="32"/>
          <w:szCs w:val="32"/>
        </w:rPr>
      </w:pPr>
      <w:r>
        <w:rPr>
          <w:rFonts w:hint="eastAsia" w:ascii="仿宋_GB2312" w:hAnsi="宋体" w:eastAsia="仿宋_GB2312" w:cs="Courier New"/>
          <w:b/>
          <w:bCs/>
          <w:sz w:val="32"/>
          <w:szCs w:val="32"/>
        </w:rPr>
        <w:t>二、事业收入：</w:t>
      </w:r>
      <w:r>
        <w:rPr>
          <w:rFonts w:hint="eastAsia" w:ascii="仿宋_GB2312" w:hAnsi="宋体" w:eastAsia="仿宋_GB2312" w:cs="Courier New"/>
          <w:sz w:val="32"/>
          <w:szCs w:val="32"/>
        </w:rPr>
        <w:t>指事业单位开展专业业务活动及辅助活动所取得的收入。</w:t>
      </w:r>
    </w:p>
    <w:p>
      <w:pPr>
        <w:kinsoku w:val="0"/>
        <w:overflowPunct w:val="0"/>
        <w:autoSpaceDE w:val="0"/>
        <w:autoSpaceDN w:val="0"/>
        <w:adjustRightInd w:val="0"/>
        <w:snapToGrid w:val="0"/>
        <w:spacing w:line="360" w:lineRule="auto"/>
        <w:ind w:firstLine="643" w:firstLineChars="200"/>
        <w:rPr>
          <w:rFonts w:ascii="仿宋_GB2312" w:hAnsi="宋体" w:eastAsia="仿宋_GB2312" w:cs="Courier New"/>
          <w:sz w:val="32"/>
          <w:szCs w:val="32"/>
        </w:rPr>
      </w:pPr>
      <w:r>
        <w:rPr>
          <w:rFonts w:hint="eastAsia" w:ascii="仿宋_GB2312" w:hAnsi="宋体" w:eastAsia="仿宋_GB2312" w:cs="Courier New"/>
          <w:b/>
          <w:bCs/>
          <w:sz w:val="32"/>
          <w:szCs w:val="32"/>
        </w:rPr>
        <w:t>三、其他收入：</w:t>
      </w:r>
      <w:r>
        <w:rPr>
          <w:rFonts w:hint="eastAsia" w:ascii="仿宋_GB2312" w:hAnsi="宋体" w:eastAsia="仿宋_GB2312" w:cs="Courier New"/>
          <w:sz w:val="32"/>
          <w:szCs w:val="32"/>
        </w:rPr>
        <w:t>指本部门取得的除“财政拨款收入”、“事业收入”、“经营收入”等以外的收入。</w:t>
      </w:r>
    </w:p>
    <w:p>
      <w:pPr>
        <w:kinsoku w:val="0"/>
        <w:overflowPunct w:val="0"/>
        <w:autoSpaceDE w:val="0"/>
        <w:autoSpaceDN w:val="0"/>
        <w:adjustRightInd w:val="0"/>
        <w:snapToGrid w:val="0"/>
        <w:spacing w:line="360" w:lineRule="auto"/>
        <w:ind w:firstLine="643" w:firstLineChars="200"/>
        <w:jc w:val="left"/>
        <w:rPr>
          <w:rFonts w:ascii="仿宋_GB2312" w:hAnsi="宋体" w:eastAsia="仿宋_GB2312" w:cs="Courier New"/>
          <w:sz w:val="32"/>
          <w:szCs w:val="32"/>
        </w:rPr>
      </w:pPr>
      <w:r>
        <w:rPr>
          <w:rFonts w:hint="eastAsia" w:ascii="仿宋_GB2312" w:hAnsi="宋体" w:eastAsia="仿宋_GB2312" w:cs="Courier New"/>
          <w:b/>
          <w:bCs/>
          <w:sz w:val="32"/>
          <w:szCs w:val="32"/>
        </w:rPr>
        <w:t>四、用事业基金弥补收支差额：</w:t>
      </w:r>
      <w:r>
        <w:rPr>
          <w:rFonts w:hint="eastAsia" w:ascii="仿宋_GB2312" w:hAnsi="宋体" w:eastAsia="仿宋_GB2312" w:cs="Courier New"/>
          <w:sz w:val="32"/>
          <w:szCs w:val="32"/>
        </w:rPr>
        <w:t>指事业单位在当年的“财政拨款收入”、“事业收入”和“其他收入”不足以安排当年支出的情况下，使用以前年度积累的事业基金（事业单位当年收支相抵后按国家规定提取、用于弥补以后年度收支差额的基金）弥补当年收支缺口的资金。</w:t>
      </w:r>
    </w:p>
    <w:p>
      <w:pPr>
        <w:kinsoku w:val="0"/>
        <w:overflowPunct w:val="0"/>
        <w:autoSpaceDE w:val="0"/>
        <w:autoSpaceDN w:val="0"/>
        <w:adjustRightInd w:val="0"/>
        <w:snapToGrid w:val="0"/>
        <w:spacing w:line="360" w:lineRule="auto"/>
        <w:ind w:firstLine="643" w:firstLineChars="200"/>
        <w:rPr>
          <w:rFonts w:ascii="仿宋_GB2312" w:hAnsi="宋体" w:eastAsia="仿宋_GB2312" w:cs="Courier New"/>
          <w:sz w:val="32"/>
          <w:szCs w:val="32"/>
        </w:rPr>
      </w:pPr>
      <w:r>
        <w:rPr>
          <w:rFonts w:hint="eastAsia" w:ascii="仿宋_GB2312" w:hAnsi="宋体" w:eastAsia="仿宋_GB2312" w:cs="Courier New"/>
          <w:b/>
          <w:bCs/>
          <w:sz w:val="32"/>
          <w:szCs w:val="32"/>
        </w:rPr>
        <w:t>五、年末结转和结余：</w:t>
      </w:r>
      <w:r>
        <w:rPr>
          <w:rFonts w:hint="eastAsia" w:ascii="仿宋_GB2312" w:hAnsi="宋体" w:eastAsia="仿宋_GB2312" w:cs="Courier New"/>
          <w:sz w:val="32"/>
          <w:szCs w:val="32"/>
        </w:rPr>
        <w:t>指本年度或以前年度预算安排、因客观条件发生变化无法按原计划实施，需延迟到以后年度按有关规定继续使用的资金。</w:t>
      </w:r>
    </w:p>
    <w:p>
      <w:pPr>
        <w:kinsoku w:val="0"/>
        <w:overflowPunct w:val="0"/>
        <w:autoSpaceDE w:val="0"/>
        <w:autoSpaceDN w:val="0"/>
        <w:adjustRightInd w:val="0"/>
        <w:snapToGrid w:val="0"/>
        <w:spacing w:line="360" w:lineRule="auto"/>
        <w:ind w:firstLine="643" w:firstLineChars="200"/>
        <w:rPr>
          <w:rFonts w:ascii="仿宋_GB2312" w:hAnsi="宋体" w:eastAsia="仿宋_GB2312" w:cs="Courier New"/>
          <w:sz w:val="32"/>
          <w:szCs w:val="32"/>
        </w:rPr>
      </w:pPr>
      <w:r>
        <w:rPr>
          <w:rFonts w:hint="eastAsia" w:ascii="仿宋_GB2312" w:hAnsi="宋体" w:eastAsia="仿宋_GB2312" w:cs="Courier New"/>
          <w:b/>
          <w:bCs/>
          <w:sz w:val="32"/>
          <w:szCs w:val="32"/>
        </w:rPr>
        <w:t>六、基本支出：</w:t>
      </w:r>
      <w:r>
        <w:rPr>
          <w:rFonts w:hint="eastAsia" w:ascii="仿宋_GB2312" w:hAnsi="宋体" w:eastAsia="仿宋_GB2312" w:cs="Courier New"/>
          <w:sz w:val="32"/>
          <w:szCs w:val="32"/>
        </w:rPr>
        <w:t>指为保障机构正常运转、完成日常工作任务而发生的人员支出和公用支出。</w:t>
      </w:r>
    </w:p>
    <w:p>
      <w:pPr>
        <w:kinsoku w:val="0"/>
        <w:overflowPunct w:val="0"/>
        <w:autoSpaceDE w:val="0"/>
        <w:autoSpaceDN w:val="0"/>
        <w:adjustRightInd w:val="0"/>
        <w:snapToGrid w:val="0"/>
        <w:spacing w:line="360" w:lineRule="auto"/>
        <w:ind w:firstLine="643" w:firstLineChars="200"/>
        <w:rPr>
          <w:rFonts w:ascii="仿宋_GB2312" w:hAnsi="宋体" w:eastAsia="仿宋_GB2312" w:cs="Courier New"/>
          <w:sz w:val="32"/>
          <w:szCs w:val="32"/>
        </w:rPr>
      </w:pPr>
      <w:r>
        <w:rPr>
          <w:rFonts w:hint="eastAsia" w:ascii="仿宋_GB2312" w:hAnsi="宋体" w:eastAsia="仿宋_GB2312" w:cs="Courier New"/>
          <w:b/>
          <w:bCs/>
          <w:sz w:val="32"/>
          <w:szCs w:val="32"/>
        </w:rPr>
        <w:t>七、项目支出：</w:t>
      </w:r>
      <w:r>
        <w:rPr>
          <w:rFonts w:hint="eastAsia" w:ascii="仿宋_GB2312" w:hAnsi="宋体" w:eastAsia="仿宋_GB2312" w:cs="Courier New"/>
          <w:sz w:val="32"/>
          <w:szCs w:val="32"/>
        </w:rPr>
        <w:t>指在基本支出之外为完成特定行政任务和事业发展目标所发生的支出</w:t>
      </w:r>
    </w:p>
    <w:p>
      <w:pPr>
        <w:kinsoku w:val="0"/>
        <w:overflowPunct w:val="0"/>
        <w:autoSpaceDE w:val="0"/>
        <w:autoSpaceDN w:val="0"/>
        <w:adjustRightInd w:val="0"/>
        <w:snapToGrid w:val="0"/>
        <w:spacing w:line="360" w:lineRule="auto"/>
        <w:ind w:firstLine="643" w:firstLineChars="200"/>
        <w:jc w:val="left"/>
        <w:rPr>
          <w:rFonts w:ascii="仿宋_GB2312" w:hAnsi="宋体" w:eastAsia="仿宋_GB2312" w:cs="Courier New"/>
          <w:sz w:val="32"/>
          <w:szCs w:val="32"/>
        </w:rPr>
      </w:pPr>
      <w:r>
        <w:rPr>
          <w:rFonts w:hint="eastAsia" w:ascii="仿宋_GB2312" w:hAnsi="宋体" w:eastAsia="仿宋_GB2312" w:cs="Courier New"/>
          <w:b/>
          <w:bCs/>
          <w:sz w:val="32"/>
          <w:szCs w:val="32"/>
        </w:rPr>
        <w:t>八、“三公”经费：</w:t>
      </w:r>
      <w:r>
        <w:rPr>
          <w:rFonts w:hint="eastAsia" w:ascii="仿宋_GB2312" w:hAnsi="宋体" w:eastAsia="仿宋_GB2312" w:cs="Courier New"/>
          <w:sz w:val="32"/>
          <w:szCs w:val="32"/>
        </w:rPr>
        <w:t>纳入省级财政预决算管理“三公”经费，指部门使用财政拨款安排的因公出国（境）费、公务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等支出；公务接待费反映单位按规定开支的各类公务接待（含外宾接待）支出。</w:t>
      </w:r>
    </w:p>
    <w:p>
      <w:pPr>
        <w:kinsoku w:val="0"/>
        <w:overflowPunct w:val="0"/>
        <w:autoSpaceDE w:val="0"/>
        <w:autoSpaceDN w:val="0"/>
        <w:adjustRightInd w:val="0"/>
        <w:snapToGrid w:val="0"/>
        <w:spacing w:line="360" w:lineRule="auto"/>
        <w:ind w:firstLine="643" w:firstLineChars="200"/>
        <w:rPr>
          <w:rFonts w:ascii="仿宋_GB2312" w:hAnsi="宋体" w:eastAsia="仿宋_GB2312" w:cs="Courier New"/>
          <w:sz w:val="32"/>
          <w:szCs w:val="32"/>
        </w:rPr>
      </w:pPr>
      <w:r>
        <w:rPr>
          <w:rFonts w:hint="eastAsia" w:ascii="仿宋_GB2312" w:hAnsi="宋体" w:eastAsia="仿宋_GB2312" w:cs="Courier New"/>
          <w:b/>
          <w:bCs/>
          <w:sz w:val="32"/>
          <w:szCs w:val="32"/>
        </w:rPr>
        <w:t>九、机关运行经费：</w:t>
      </w:r>
      <w:r>
        <w:rPr>
          <w:rFonts w:hint="eastAsia" w:ascii="仿宋_GB2312" w:hAnsi="宋体" w:eastAsia="仿宋_GB2312" w:cs="Courier New"/>
          <w:sz w:val="32"/>
          <w:szCs w:val="32"/>
        </w:rPr>
        <w:t>指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outlineLvl w:val="0"/>
        <w:rPr>
          <w:rFonts w:ascii="隶书" w:hAnsi="隶书" w:eastAsia="隶书" w:cs="隶书"/>
          <w:sz w:val="48"/>
          <w:szCs w:val="48"/>
        </w:rPr>
      </w:pPr>
    </w:p>
    <w:p/>
    <w:sectPr>
      <w:pgSz w:w="11906" w:h="16838"/>
      <w:pgMar w:top="1440" w:right="1361" w:bottom="1440" w:left="1361" w:header="850" w:footer="992" w:gutter="0"/>
      <w:pgNumType w:fmt="numberInDash"/>
      <w:cols w:space="0" w:num="1"/>
      <w:docGrid w:type="lines" w:linePitch="34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0000000000000000000"/>
    <w:charset w:val="86"/>
    <w:family w:val="modern"/>
    <w:pitch w:val="default"/>
    <w:sig w:usb0="00000000" w:usb1="00000000" w:usb2="00000010" w:usb3="00000000" w:csb0="00040000" w:csb1="00000000"/>
  </w:font>
  <w:font w:name="隶书">
    <w:altName w:val="微软雅黑"/>
    <w:panose1 w:val="02010509060101010101"/>
    <w:charset w:val="86"/>
    <w:family w:val="modern"/>
    <w:pitch w:val="default"/>
    <w:sig w:usb0="00000000" w:usb1="00000000" w:usb2="0000000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30306580"/>
      <w:docPartObj>
        <w:docPartGallery w:val="autotext"/>
      </w:docPartObj>
    </w:sdtPr>
    <w:sdtContent>
      <w:p>
        <w:pPr>
          <w:pStyle w:val="2"/>
          <w:jc w:val="center"/>
        </w:pPr>
        <w:r>
          <w:fldChar w:fldCharType="begin"/>
        </w:r>
        <w:r>
          <w:instrText xml:space="preserve">PAGE   \* MERGEFORMAT</w:instrText>
        </w:r>
        <w:r>
          <w:fldChar w:fldCharType="separate"/>
        </w:r>
        <w:r>
          <w:rPr>
            <w:lang w:val="zh-CN"/>
          </w:rPr>
          <w:t>2</w:t>
        </w:r>
        <w:r>
          <w:fldChar w:fldCharType="end"/>
        </w:r>
      </w:p>
    </w:sdtContent>
  </w:sdt>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auto" w:sz="0" w:space="0"/>
        <w:left w:val="none" w:color="auto" w:sz="0" w:space="0"/>
        <w:bottom w:val="none" w:color="auto" w:sz="0" w:space="0"/>
        <w:right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auto" w:sz="0" w:space="0"/>
        <w:left w:val="none" w:color="auto" w:sz="0" w:space="0"/>
        <w:bottom w:val="none" w:color="auto" w:sz="0" w:space="0"/>
        <w:right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514530A"/>
    <w:multiLevelType w:val="singleLevel"/>
    <w:tmpl w:val="8514530A"/>
    <w:lvl w:ilvl="0" w:tentative="0">
      <w:start w:val="2"/>
      <w:numFmt w:val="chineseCounting"/>
      <w:suff w:val="nothing"/>
      <w:lvlText w:val="（%1）"/>
      <w:lvlJc w:val="left"/>
      <w:rPr>
        <w:rFonts w:hint="eastAsia"/>
      </w:rPr>
    </w:lvl>
  </w:abstractNum>
  <w:abstractNum w:abstractNumId="1">
    <w:nsid w:val="E85207B7"/>
    <w:multiLevelType w:val="singleLevel"/>
    <w:tmpl w:val="E85207B7"/>
    <w:lvl w:ilvl="0" w:tentative="0">
      <w:start w:val="4"/>
      <w:numFmt w:val="chineseCounting"/>
      <w:suff w:val="nothing"/>
      <w:lvlText w:val="第%1部分　"/>
      <w:lvlJc w:val="left"/>
      <w:rPr>
        <w:rFonts w:hint="eastAsia"/>
      </w:rPr>
    </w:lvl>
  </w:abstractNum>
  <w:abstractNum w:abstractNumId="2">
    <w:nsid w:val="5322B1D7"/>
    <w:multiLevelType w:val="singleLevel"/>
    <w:tmpl w:val="5322B1D7"/>
    <w:lvl w:ilvl="0" w:tentative="0">
      <w:start w:val="1"/>
      <w:numFmt w:val="chineseCounting"/>
      <w:suff w:val="space"/>
      <w:lvlText w:val="第%1部分"/>
      <w:lvlJc w:val="left"/>
      <w:rPr>
        <w:rFonts w:hint="eastAsia"/>
      </w:rPr>
    </w:lvl>
  </w:abstractNum>
  <w:abstractNum w:abstractNumId="3">
    <w:nsid w:val="5971BE17"/>
    <w:multiLevelType w:val="singleLevel"/>
    <w:tmpl w:val="5971BE17"/>
    <w:lvl w:ilvl="0" w:tentative="0">
      <w:start w:val="1"/>
      <w:numFmt w:val="chineseCounting"/>
      <w:suff w:val="nothing"/>
      <w:lvlText w:val="%1、"/>
      <w:lvlJc w:val="left"/>
      <w:rPr>
        <w:rFonts w:cs="Times New Roman"/>
      </w:rPr>
    </w:lvl>
  </w:abstractNum>
  <w:abstractNum w:abstractNumId="4">
    <w:nsid w:val="5971BF59"/>
    <w:multiLevelType w:val="singleLevel"/>
    <w:tmpl w:val="5971BF59"/>
    <w:lvl w:ilvl="0" w:tentative="0">
      <w:start w:val="1"/>
      <w:numFmt w:val="chineseCounting"/>
      <w:suff w:val="nothing"/>
      <w:lvlText w:val="%1、"/>
      <w:lvlJc w:val="left"/>
      <w:pPr>
        <w:ind w:firstLine="420"/>
      </w:pPr>
      <w:rPr>
        <w:rFonts w:hint="eastAsia" w:cs="Times New Roman"/>
      </w:rPr>
    </w:lvl>
  </w:abstractNum>
  <w:abstractNum w:abstractNumId="5">
    <w:nsid w:val="5971C193"/>
    <w:multiLevelType w:val="singleLevel"/>
    <w:tmpl w:val="5971C193"/>
    <w:lvl w:ilvl="0" w:tentative="0">
      <w:start w:val="2"/>
      <w:numFmt w:val="chineseCounting"/>
      <w:suff w:val="nothing"/>
      <w:lvlText w:val="%1、"/>
      <w:lvlJc w:val="left"/>
      <w:rPr>
        <w:rFonts w:cs="Times New Roman"/>
      </w:rPr>
    </w:lvl>
  </w:abstractNum>
  <w:abstractNum w:abstractNumId="6">
    <w:nsid w:val="780E632D"/>
    <w:multiLevelType w:val="singleLevel"/>
    <w:tmpl w:val="780E632D"/>
    <w:lvl w:ilvl="0" w:tentative="0">
      <w:start w:val="1"/>
      <w:numFmt w:val="decimal"/>
      <w:suff w:val="nothing"/>
      <w:lvlText w:val="%1．"/>
      <w:lvlJc w:val="left"/>
    </w:lvl>
  </w:abstractNum>
  <w:num w:numId="1">
    <w:abstractNumId w:val="3"/>
  </w:num>
  <w:num w:numId="2">
    <w:abstractNumId w:val="2"/>
  </w:num>
  <w:num w:numId="3">
    <w:abstractNumId w:val="4"/>
  </w:num>
  <w:num w:numId="4">
    <w:abstractNumId w:val="5"/>
  </w:num>
  <w:num w:numId="5">
    <w:abstractNumId w:val="6"/>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HorizontalSpacing w:val="105"/>
  <w:drawingGridVerticalSpacing w:val="170"/>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1DE70B6"/>
    <w:rsid w:val="00040EB5"/>
    <w:rsid w:val="001358FE"/>
    <w:rsid w:val="00363A17"/>
    <w:rsid w:val="005C027F"/>
    <w:rsid w:val="00666F98"/>
    <w:rsid w:val="008133FB"/>
    <w:rsid w:val="008D4773"/>
    <w:rsid w:val="00F55D57"/>
    <w:rsid w:val="00F924C2"/>
    <w:rsid w:val="02533DA0"/>
    <w:rsid w:val="03C32340"/>
    <w:rsid w:val="04B364B7"/>
    <w:rsid w:val="09C960CE"/>
    <w:rsid w:val="0B254500"/>
    <w:rsid w:val="0D106BA6"/>
    <w:rsid w:val="13926189"/>
    <w:rsid w:val="1AB2426A"/>
    <w:rsid w:val="1B645C0D"/>
    <w:rsid w:val="1B8A1A9E"/>
    <w:rsid w:val="1E260E10"/>
    <w:rsid w:val="25F3221F"/>
    <w:rsid w:val="2CB058F5"/>
    <w:rsid w:val="2EA1747B"/>
    <w:rsid w:val="31DE70B6"/>
    <w:rsid w:val="32136B9E"/>
    <w:rsid w:val="335A6175"/>
    <w:rsid w:val="34D42542"/>
    <w:rsid w:val="35474668"/>
    <w:rsid w:val="3D6120DC"/>
    <w:rsid w:val="3EA51D29"/>
    <w:rsid w:val="412958A9"/>
    <w:rsid w:val="41A805EF"/>
    <w:rsid w:val="42641814"/>
    <w:rsid w:val="43C25050"/>
    <w:rsid w:val="473528BE"/>
    <w:rsid w:val="484C7048"/>
    <w:rsid w:val="48D22302"/>
    <w:rsid w:val="4A2C2710"/>
    <w:rsid w:val="4AF04B7D"/>
    <w:rsid w:val="4FB6457F"/>
    <w:rsid w:val="530E1B10"/>
    <w:rsid w:val="53580819"/>
    <w:rsid w:val="545B602B"/>
    <w:rsid w:val="570D5E74"/>
    <w:rsid w:val="5A0E72FE"/>
    <w:rsid w:val="5BE13B83"/>
    <w:rsid w:val="5E2D7A02"/>
    <w:rsid w:val="5EC57E62"/>
    <w:rsid w:val="5F6920EC"/>
    <w:rsid w:val="64CB75D1"/>
    <w:rsid w:val="68F32B13"/>
    <w:rsid w:val="69785314"/>
    <w:rsid w:val="6C9E53BD"/>
    <w:rsid w:val="6E2E7D59"/>
    <w:rsid w:val="6EC0019C"/>
    <w:rsid w:val="725C2267"/>
    <w:rsid w:val="75FE0591"/>
    <w:rsid w:val="797761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6"/>
    <w:qFormat/>
    <w:uiPriority w:val="99"/>
    <w:pPr>
      <w:tabs>
        <w:tab w:val="center" w:pos="4153"/>
        <w:tab w:val="right" w:pos="8306"/>
      </w:tabs>
      <w:snapToGrid w:val="0"/>
      <w:jc w:val="left"/>
    </w:pPr>
    <w:rPr>
      <w:sz w:val="18"/>
    </w:rPr>
  </w:style>
  <w:style w:type="paragraph" w:styleId="3">
    <w:name w:val="header"/>
    <w:basedOn w:val="1"/>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6">
    <w:name w:val="页脚 字符"/>
    <w:basedOn w:val="4"/>
    <w:link w:val="2"/>
    <w:qFormat/>
    <w:uiPriority w:val="99"/>
    <w:rPr>
      <w:rFonts w:ascii="Calibri" w:hAnsi="Calibri"/>
      <w:kern w:val="2"/>
      <w:sz w:val="18"/>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5699EBB-9F92-4312-8D68-CCC822FEEB39}">
  <ds:schemaRefs/>
</ds:datastoreItem>
</file>

<file path=docProps/app.xml><?xml version="1.0" encoding="utf-8"?>
<Properties xmlns="http://schemas.openxmlformats.org/officeDocument/2006/extended-properties" xmlns:vt="http://schemas.openxmlformats.org/officeDocument/2006/docPropsVTypes">
  <Template>Normal</Template>
  <Pages>25</Pages>
  <Words>1817</Words>
  <Characters>10358</Characters>
  <Lines>86</Lines>
  <Paragraphs>24</Paragraphs>
  <TotalTime>0</TotalTime>
  <ScaleCrop>false</ScaleCrop>
  <LinksUpToDate>false</LinksUpToDate>
  <CharactersWithSpaces>12151</CharactersWithSpaces>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2018-09-17T01:01:00Z</dcterms:created>
  <dc:creator>lennovo</dc:creator>
  <cp:lastModifiedBy>lenovo</cp:lastModifiedBy>
  <cp:lastPrinted>2018-09-18T02:29:00Z</cp:lastPrinted>
  <dcterms:modified xsi:type="dcterms:W3CDTF">2019-02-22T00:57:34Z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