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264" w:type="dxa"/>
        <w:jc w:val="center"/>
        <w:tblInd w:w="-4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69"/>
        <w:gridCol w:w="195"/>
      </w:tblGrid>
      <w:tr w:rsidR="00157C35" w:rsidRPr="004915AF" w:rsidTr="004915AF">
        <w:trPr>
          <w:jc w:val="center"/>
        </w:trPr>
        <w:tc>
          <w:tcPr>
            <w:tcW w:w="8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157C35" w:rsidRPr="004915AF" w:rsidRDefault="00157C35" w:rsidP="00E20950">
            <w:pPr>
              <w:widowControl/>
              <w:spacing w:line="276" w:lineRule="auto"/>
              <w:rPr>
                <w:rFonts w:ascii="仿宋_GB2312" w:eastAsia="仿宋_GB2312" w:hAnsi="Verdana" w:cs="宋体" w:hint="eastAsia"/>
                <w:sz w:val="18"/>
                <w:szCs w:val="18"/>
              </w:rPr>
            </w:pPr>
          </w:p>
        </w:tc>
        <w:tc>
          <w:tcPr>
            <w:tcW w:w="19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157C35" w:rsidRPr="004915AF" w:rsidRDefault="00E20950" w:rsidP="00E20950">
            <w:pPr>
              <w:widowControl/>
              <w:spacing w:line="276" w:lineRule="auto"/>
              <w:rPr>
                <w:rFonts w:ascii="仿宋_GB2312" w:eastAsia="仿宋_GB2312" w:hAnsi="Verdana" w:cs="宋体" w:hint="eastAsia"/>
                <w:sz w:val="18"/>
                <w:szCs w:val="18"/>
              </w:rPr>
            </w:pPr>
            <w:r w:rsidRPr="004915AF">
              <w:rPr>
                <w:rFonts w:ascii="仿宋_GB2312" w:eastAsia="仿宋_GB2312" w:hAnsi="Verdana" w:cs="宋体" w:hint="eastAsia"/>
                <w:sz w:val="18"/>
                <w:szCs w:val="18"/>
              </w:rPr>
              <w:t> </w:t>
            </w:r>
          </w:p>
        </w:tc>
      </w:tr>
      <w:tr w:rsidR="00157C35" w:rsidRPr="004915AF" w:rsidTr="004915AF">
        <w:trPr>
          <w:trHeight w:val="450"/>
          <w:jc w:val="center"/>
        </w:trPr>
        <w:tc>
          <w:tcPr>
            <w:tcW w:w="8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157C35" w:rsidRPr="004915AF" w:rsidRDefault="00E20950" w:rsidP="00E20950">
            <w:pPr>
              <w:widowControl/>
              <w:spacing w:line="276" w:lineRule="auto"/>
              <w:ind w:firstLineChars="50" w:firstLine="200"/>
              <w:jc w:val="center"/>
              <w:rPr>
                <w:rFonts w:asciiTheme="majorEastAsia" w:eastAsiaTheme="majorEastAsia" w:hAnsiTheme="majorEastAsia" w:cs="宋体" w:hint="eastAsia"/>
                <w:sz w:val="40"/>
                <w:szCs w:val="32"/>
              </w:rPr>
            </w:pPr>
            <w:r w:rsidRPr="004915AF">
              <w:rPr>
                <w:rFonts w:asciiTheme="majorEastAsia" w:eastAsiaTheme="majorEastAsia" w:hAnsiTheme="majorEastAsia" w:cs="宋体" w:hint="eastAsia"/>
                <w:sz w:val="40"/>
                <w:szCs w:val="32"/>
              </w:rPr>
              <w:t>20</w:t>
            </w:r>
            <w:r w:rsidRPr="004915AF">
              <w:rPr>
                <w:rFonts w:asciiTheme="majorEastAsia" w:eastAsiaTheme="majorEastAsia" w:hAnsiTheme="majorEastAsia" w:cs="宋体" w:hint="eastAsia"/>
                <w:sz w:val="40"/>
                <w:szCs w:val="32"/>
              </w:rPr>
              <w:t>20</w:t>
            </w:r>
            <w:r w:rsidRPr="004915AF">
              <w:rPr>
                <w:rFonts w:asciiTheme="majorEastAsia" w:eastAsiaTheme="majorEastAsia" w:hAnsiTheme="majorEastAsia" w:cs="宋体" w:hint="eastAsia"/>
                <w:sz w:val="40"/>
                <w:szCs w:val="32"/>
              </w:rPr>
              <w:t>年度项城市委党史研究室预算公开</w:t>
            </w:r>
          </w:p>
          <w:p w:rsidR="004915AF" w:rsidRDefault="004915AF" w:rsidP="00E20950">
            <w:pPr>
              <w:widowControl/>
              <w:spacing w:line="276" w:lineRule="auto"/>
              <w:ind w:firstLineChars="1100" w:firstLine="352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bookmarkStart w:id="0" w:name="_GoBack"/>
            <w:bookmarkEnd w:id="0"/>
          </w:p>
          <w:p w:rsidR="004915AF" w:rsidRPr="00E20950" w:rsidRDefault="00E20950" w:rsidP="00E20950">
            <w:pPr>
              <w:widowControl/>
              <w:spacing w:line="276" w:lineRule="auto"/>
              <w:ind w:firstLineChars="1100" w:firstLine="3534"/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</w:pPr>
            <w:r w:rsidRPr="00E20950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目</w:t>
            </w:r>
            <w:r w:rsidRPr="00E20950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 </w:t>
            </w:r>
            <w:r w:rsidRPr="00E20950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录</w:t>
            </w:r>
          </w:p>
          <w:p w:rsidR="00157C35" w:rsidRPr="004915AF" w:rsidRDefault="00E20950" w:rsidP="00E20950">
            <w:pPr>
              <w:widowControl/>
              <w:spacing w:line="276" w:lineRule="auto"/>
              <w:ind w:firstLineChars="750" w:firstLine="240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第一部分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项城市委党史研究室概况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一、主要职能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二、部门预算单位构成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第二部分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年度部门预算情况说明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第三部分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名词解释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附件：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年度部门预算表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一、部门收支总体情况表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二、部门收入总体情况表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三、部门支出总体情况表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四、财政拨款收支总体情况表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五、一般公共预算支出情况表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六、一般公共预算基本支出情况表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七、一般公共预算“三公”经费支出情况表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八、政府性基金预算支出情况表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九、国有资本经营预算支出情况表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</w:p>
          <w:p w:rsidR="00157C35" w:rsidRPr="004915AF" w:rsidRDefault="00157C35" w:rsidP="00E20950">
            <w:pPr>
              <w:widowControl/>
              <w:spacing w:line="276" w:lineRule="auto"/>
              <w:ind w:firstLineChars="1200" w:firstLine="3840"/>
              <w:jc w:val="left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</w:p>
          <w:p w:rsidR="00157C35" w:rsidRPr="004915AF" w:rsidRDefault="00157C35" w:rsidP="00E20950">
            <w:pPr>
              <w:widowControl/>
              <w:spacing w:line="276" w:lineRule="auto"/>
              <w:ind w:firstLineChars="1200" w:firstLine="38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</w:p>
          <w:p w:rsidR="00157C35" w:rsidRPr="004915AF" w:rsidRDefault="00157C35" w:rsidP="00E20950">
            <w:pPr>
              <w:widowControl/>
              <w:spacing w:line="276" w:lineRule="auto"/>
              <w:ind w:firstLineChars="1200" w:firstLine="38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</w:p>
          <w:p w:rsidR="00157C35" w:rsidRPr="004915AF" w:rsidRDefault="00157C35" w:rsidP="00E20950">
            <w:pPr>
              <w:widowControl/>
              <w:spacing w:line="276" w:lineRule="auto"/>
              <w:ind w:firstLineChars="1200" w:firstLine="38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</w:p>
          <w:p w:rsidR="00157C35" w:rsidRPr="004915AF" w:rsidRDefault="00157C35" w:rsidP="00E20950">
            <w:pPr>
              <w:widowControl/>
              <w:spacing w:line="276" w:lineRule="auto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</w:p>
          <w:p w:rsidR="004915AF" w:rsidRPr="004915AF" w:rsidRDefault="00E20950" w:rsidP="00E20950">
            <w:pPr>
              <w:widowControl/>
              <w:spacing w:line="276" w:lineRule="auto"/>
              <w:jc w:val="center"/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lastRenderedPageBreak/>
              <w:t>第一部分</w:t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项城市委党史研究室概况</w:t>
            </w:r>
          </w:p>
          <w:p w:rsidR="00157C35" w:rsidRPr="004915AF" w:rsidRDefault="00E20950" w:rsidP="00E20950">
            <w:pPr>
              <w:widowControl/>
              <w:spacing w:line="276" w:lineRule="auto"/>
              <w:jc w:val="left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一、项城市委党史研究室主要职能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   </w:t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市委党史研究室是市委直属正科级参公管理事业单位主要职责：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（一）贯彻省委和市委关于党史工作的指示、决定和部署，制定党史工作规划，指导和协调全市党史工作。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（二）开展党史研究，为解决重大党史事件、主要党史人物有关问题提供咨询和意见，为市委决策服务。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（三）负责中共项城党史资料的征集、整理和编纂工作；负责乡镇党史史稿的审查工作。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（四）负责中共项城党史。项城党史专题研究丛书、项城党史人物传记丛书等重要书刊的编辑、撰写、协调、审查和出版发行工作。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（五）负责全市党史大事记的征集、编辑工作，实行党史大事记当月记、当年编制度。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（六）组织开展党史、革命史的宣传教育，参与举办党史事件和重要党史人物的纪念活动。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（七）组织全市党史系统课题研究和业务骨干培训。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（八）指导项城市中共党史学会工作，组织协调党史学会开展各种学术活动。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（九）承办市委和周口市委党史研究室交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办的其他事项。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二、部门预算单位构成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项城市委党史研究室部门预算涵盖的预算单位为本单位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1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个单位。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</w:p>
          <w:p w:rsidR="00E051D9" w:rsidRPr="004915AF" w:rsidRDefault="00E20950" w:rsidP="00E20950">
            <w:pPr>
              <w:widowControl/>
              <w:spacing w:line="276" w:lineRule="auto"/>
              <w:ind w:firstLineChars="1000" w:firstLine="3213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第二部分</w:t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2020</w:t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年度部门预算情况说明</w:t>
            </w:r>
            <w:r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lastRenderedPageBreak/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一、收入支出预算总体情况说明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年收入总计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58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万元，支出总计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58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万元。相比上年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减少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6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减少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8.23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%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，原因是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项目费大幅缩减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二、收入预算总体情况说明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年收入合计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58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万元，其中：工资福利收入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76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万元；商品和服务收入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43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万元；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对个人和家庭的补助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万元；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项目收入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三、支出预算总体情况说明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年支出合计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58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万元，其中：工资福利支出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76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万元；商品和服务支出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43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万元；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对个人和家庭的补助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万元；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项目支出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四、财政拨款收入支出预算总体情况说明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年一般公共预算收支预算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58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201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年相比，相比上年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减少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6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减少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8.23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%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，原因是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项目费大幅缩减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五、一般公共预算基本支出预算情况说明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究室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年一般公共预算基本支出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39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58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万元，其中：人员经费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30.76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万元，主要包括：基本工资、津贴补贴、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奖金、社会保障缴费、伙食补助费、绩效工资、其他工资福利支出、离休费、退休费、退职（役）费、抚恤金、生活补助、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医疗费、助学金、奖励金、住房公积金、提租补贴、购房补贴、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其他对个人和家庭的补助支出；公用经费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4.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43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万元，主要包括：办公费、印刷费、咨询费、手续费、水费、电费、邮电费、取暖费、物业管理费、差旅费、因公出国（境）费、维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lastRenderedPageBreak/>
              <w:t>修（护）费、租赁费、会议费、培训费、公务接待费、专用材料费、劳务费、委托业务费、工会经费、福利费、公务用车运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行维护费、其他交通费用、税金及附加费用、其他商品和服务支出、办公设备购置、专用设备购置、大型修缮、信息网络及软件购置更新、其他资本性支出。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六、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“三公”经费支出预算情况说明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我单位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年“三公”经费预算为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七、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“三公”经费支出预算情况说明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我单位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年“三公”经费预算为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具体支出情况如下：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（一）因公出国（境）费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（二）公务用车购置及运行费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（三）公务接待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费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万元。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八、政府采购安排情况说明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我单位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年无政府采购拨款安排。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九、政府性基金预算支出情况说明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我单位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年无政府性基金预算拨款安排。</w:t>
            </w:r>
          </w:p>
          <w:p w:rsidR="00E051D9" w:rsidRPr="004915AF" w:rsidRDefault="00E051D9" w:rsidP="00E2095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76" w:lineRule="auto"/>
              <w:outlineLvl w:val="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十、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机关运行经费支出情况</w:t>
            </w:r>
          </w:p>
          <w:p w:rsidR="004915AF" w:rsidRPr="004915AF" w:rsidRDefault="004915AF" w:rsidP="00E2095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76" w:lineRule="auto"/>
              <w:ind w:firstLineChars="200" w:firstLine="6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项城市委党史研究室2020年机关运行经费支出预算2.8万元，主要保障机关机构正常运转及正常履职需要的办公费、水电费、印刷费、邮电费、维修费、差旅费等支出。</w:t>
            </w:r>
          </w:p>
          <w:p w:rsidR="00E051D9" w:rsidRPr="004915AF" w:rsidRDefault="00E051D9" w:rsidP="00E2095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76" w:lineRule="auto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十一、国有资产占用情况说明</w:t>
            </w:r>
          </w:p>
          <w:p w:rsidR="00E051D9" w:rsidRPr="004915AF" w:rsidRDefault="00E051D9" w:rsidP="00E2095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76" w:lineRule="auto"/>
              <w:ind w:firstLineChars="200" w:firstLine="6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年度，本单位公务用车 0 辆，单位价值 50 万元以上通用设配 0 台（套），单位价值 100 万元以上专用设备 0 台（套）。</w:t>
            </w:r>
          </w:p>
          <w:p w:rsidR="004915AF" w:rsidRPr="004915AF" w:rsidRDefault="004915AF" w:rsidP="00E20950">
            <w:pPr>
              <w:spacing w:line="276" w:lineRule="auto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十二、重点项目预算的绩效目标等预算绩效情况说明</w:t>
            </w:r>
          </w:p>
          <w:p w:rsidR="004915AF" w:rsidRPr="004915AF" w:rsidRDefault="004915AF" w:rsidP="00E20950">
            <w:pPr>
              <w:spacing w:line="276" w:lineRule="auto"/>
              <w:ind w:firstLineChars="200" w:firstLine="6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2020年度，我单位认真履行存史、执政、育人功能。1、完成了《中共项城历史大事记》（2020）征编工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lastRenderedPageBreak/>
              <w:t>作。地方党史大事记是党史部门的一项基础性日常工作，按照大事记的征编要求，我们落实专人，密切关注市情动态，与市“四大家”办公室及《项城市讯》、项城电视台、项城网站等新闻媒体密切配合，逐条做好记载、整理、核实，积累资料准确、翔实，现已征编2020年度党史大事记400余条，15万余字，形成了当年度的大事记初稿，年后送审、定稿。为编写史稿打下了坚实的基础。</w:t>
            </w:r>
          </w:p>
          <w:p w:rsidR="004915AF" w:rsidRPr="004915AF" w:rsidRDefault="004915AF" w:rsidP="00E20950">
            <w:pPr>
              <w:spacing w:line="276" w:lineRule="auto"/>
              <w:ind w:firstLineChars="200" w:firstLine="6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2、完成了《项城市执政纪实》（2019）征编印刷工作。该书内容主要包括图片和文字两个方面。图片主要是四大班子一把手视察照片；文字主要是全市各单位2019年度工作纪实。该书客观公正、全面系统地反映项城市2019年度发展的历史轨迹，具有较高的存史收藏价值。</w:t>
            </w:r>
          </w:p>
          <w:p w:rsidR="004915AF" w:rsidRPr="004915AF" w:rsidRDefault="004915AF" w:rsidP="00E20950">
            <w:pPr>
              <w:spacing w:line="276" w:lineRule="auto"/>
              <w:ind w:firstLineChars="200" w:firstLine="6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3、全面启动《中共项城历史》（第三卷）编写工作，按照《中共周口市委办公室关于编写市县中共党史第三卷的通知》和培训会工作要求。我第一时间向市委秘书长毛磊作了汇报：毛秘书长高度重视项城党史三卷本写作，并做出批示：按照周口市委办通知要求尽快启动项城党史三卷本编写工作，仿照上级成立领导组和编辑部，确保人力物力财力，要写出经得起党、经得起人民、经得起社会、经得起历史考验的优秀史学著作。党史三卷暨改革开放史和中国特色社会主义建设史，记述1978年12月十一届三中全会召开到2002年11月党的十六大召开这段党史。这项工作是“十四五”期间党史部门中心工作，计划2021年全面启动，2025年完成定稿、审稿和出版发行任务。</w:t>
            </w:r>
          </w:p>
          <w:p w:rsidR="00157C35" w:rsidRPr="004915AF" w:rsidRDefault="004915AF" w:rsidP="00E20950">
            <w:pPr>
              <w:spacing w:line="276" w:lineRule="auto"/>
              <w:ind w:firstLineChars="200" w:firstLine="640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我室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大力开展党史宣传教育活动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，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积极采取措施，加大党史宣传力度，强化党史宣传在党的宣传思想工作中的特殊作用。不断巩固和扩大党史宣传阵地，充分利用《项城市讯》、项城电视台、项城党史网等媒介，加强党史宣传，以党史重大事件和重要人物纪念活动为契机，积极组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lastRenderedPageBreak/>
              <w:t>织有关庆祝和宣传活动。一是利用“七一”、“十一”等重大节日，在全市机关企事业单位通过召开座谈会、专题讲座、演讲比赛等多种形式开展党史爱国主义教育，激发大家坚定跟党走的信心和决心。二是联合市关工委在全市中小学开展“学党史、颂党恩、跟党走”巡回报告会，教育广大青少年“听党话、跟党走、争当‘四有’青少年”，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做一名合格的社会主义接班人。三是按照中共河南省委党史研究室《关于在全省党史系统中加强党史、新中国史、改革开放史、社会主义发展史学习教育的通知》精神，认真组织开展项城党史宣讲“七进”活动，成立了项城党史宣讲团，收到了良好的社会效果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            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="00E20950"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 xml:space="preserve"> </w:t>
            </w:r>
            <w:r w:rsidR="00E20950"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第三部分</w:t>
            </w:r>
            <w:r w:rsidR="00E20950"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 xml:space="preserve"> </w:t>
            </w:r>
            <w:r w:rsidR="00E20950"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t>名词解释</w:t>
            </w:r>
            <w:r w:rsidR="00E20950" w:rsidRPr="004915AF">
              <w:rPr>
                <w:rFonts w:ascii="仿宋_GB2312" w:eastAsia="仿宋_GB2312" w:hAnsi="Verdana" w:cs="宋体" w:hint="eastAsia"/>
                <w:b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一、财政拨款收入：是指省级财政当年拨付的资金。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二、事业收入：是指事业单位开展专业活动及辅助活动所取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得的收入。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三、其他收入：是指部门取得的除“财政拨款”、“事业收入”、“事业单位经营收入”等以外的收入。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四、用事业基金弥补收支差额：是指事业单位在当年的“财政拨款收入”、“事业收入”、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“经营收入”和“其他收入”不足以安排当年支出的情况下，使用以前年度积累的事业基金（即事业单位以前各年度收支相抵后，按国家规定提取、用于弥补以后年度收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 xml:space="preserve"> 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支差额的基金）弥补当年收支缺口的资金。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五、基本支出：是指为保障机构正常运转、完成日常工作任务所必需的开支，其内容包括人员经费和日常公用经费两部分。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六、项目支出：是指在基本支出之外，为完成特定的行政工作任务或事业发展目标所发生的支出。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七、“三公”经费：是指纳入省级财政预算管理，部门使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lastRenderedPageBreak/>
              <w:t>用财政拨款安排的因公出国（境）费、公务用车购置及运行费和公务接待费。其中，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br/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</w:t>
            </w:r>
            <w:r w:rsidR="00E20950"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其他费用。</w:t>
            </w:r>
          </w:p>
          <w:p w:rsidR="00157C35" w:rsidRPr="004915AF" w:rsidRDefault="00E20950" w:rsidP="00E20950">
            <w:pPr>
              <w:widowControl/>
              <w:spacing w:line="276" w:lineRule="auto"/>
              <w:rPr>
                <w:rFonts w:ascii="仿宋_GB2312" w:eastAsia="仿宋_GB2312" w:hAnsi="Verdana" w:cs="宋体" w:hint="eastAsia"/>
                <w:sz w:val="32"/>
                <w:szCs w:val="32"/>
              </w:rPr>
            </w:pPr>
            <w:r w:rsidRPr="004915AF">
              <w:rPr>
                <w:rFonts w:ascii="仿宋_GB2312" w:eastAsia="仿宋_GB2312" w:hAnsi="Verdana" w:cs="宋体" w:hint="eastAsia"/>
                <w:sz w:val="32"/>
                <w:szCs w:val="32"/>
              </w:rPr>
              <w:t> </w:t>
            </w:r>
          </w:p>
        </w:tc>
        <w:tc>
          <w:tcPr>
            <w:tcW w:w="19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57C35" w:rsidRPr="004915AF" w:rsidRDefault="00157C35" w:rsidP="00E20950">
            <w:pPr>
              <w:spacing w:line="276" w:lineRule="auto"/>
              <w:rPr>
                <w:rFonts w:ascii="仿宋_GB2312" w:eastAsia="仿宋_GB2312" w:hint="eastAsia"/>
              </w:rPr>
            </w:pPr>
          </w:p>
        </w:tc>
      </w:tr>
    </w:tbl>
    <w:p w:rsidR="00157C35" w:rsidRPr="004915AF" w:rsidRDefault="00157C35" w:rsidP="00E20950">
      <w:pPr>
        <w:spacing w:line="276" w:lineRule="auto"/>
        <w:rPr>
          <w:rFonts w:ascii="仿宋_GB2312" w:eastAsia="仿宋_GB2312" w:hint="eastAsia"/>
        </w:rPr>
      </w:pPr>
    </w:p>
    <w:sectPr w:rsidR="00157C35" w:rsidRPr="004915AF">
      <w:endnotePr>
        <w:numFmt w:val="decimal"/>
      </w:endnotePr>
      <w:pgSz w:w="11906" w:h="16838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0"/>
  <w:drawingGridVerticalSpacing w:val="156"/>
  <w:characterSpacingControl w:val="doNotCompress"/>
  <w:endnotePr>
    <w:numFmt w:val="decimal"/>
  </w:endnotePr>
  <w:compat>
    <w:doNotExpandShiftReturn/>
    <w:useFELayout/>
    <w:compatSetting w:name="compatibilityMode" w:uri="http://schemas.microsoft.com/office/word" w:val="12"/>
  </w:compat>
  <w:rsids>
    <w:rsidRoot w:val="00EB78C1"/>
    <w:rsid w:val="0015364C"/>
    <w:rsid w:val="00157C35"/>
    <w:rsid w:val="002D25F3"/>
    <w:rsid w:val="002F439B"/>
    <w:rsid w:val="004915AF"/>
    <w:rsid w:val="00651025"/>
    <w:rsid w:val="00767511"/>
    <w:rsid w:val="00823A33"/>
    <w:rsid w:val="008B199B"/>
    <w:rsid w:val="008F4901"/>
    <w:rsid w:val="00A10645"/>
    <w:rsid w:val="00AC6BE1"/>
    <w:rsid w:val="00B05A6D"/>
    <w:rsid w:val="00CB1716"/>
    <w:rsid w:val="00CF1727"/>
    <w:rsid w:val="00D163A6"/>
    <w:rsid w:val="00D254B8"/>
    <w:rsid w:val="00D62DF4"/>
    <w:rsid w:val="00E051D9"/>
    <w:rsid w:val="00E20950"/>
    <w:rsid w:val="00EB78C1"/>
    <w:rsid w:val="00EE563B"/>
    <w:rsid w:val="0C82792B"/>
    <w:rsid w:val="36D13E43"/>
    <w:rsid w:val="66696228"/>
    <w:rsid w:val="71A21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er" w:qFormat="1"/>
    <w:lsdException w:name="footer" w:qFormat="1"/>
    <w:lsdException w:name="Default Paragraph Font" w:uiPriority="1"/>
    <w:lsdException w:name="Hyperlink" w:semiHidden="0" w:uiPriority="0" w:unhideWhenUsed="0"/>
    <w:lsdException w:name="Normal (Web)" w:semiHidden="0" w:uiPriority="0" w:unhideWhenUsed="0" w:qFormat="1"/>
    <w:lsdException w:name="Normal Table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1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qFormat/>
    <w:pPr>
      <w:spacing w:before="100" w:beforeAutospacing="1" w:after="100" w:afterAutospacing="1"/>
    </w:pPr>
    <w:rPr>
      <w:rFonts w:ascii="宋体" w:eastAsia="宋体" w:hAnsi="宋体" w:cs="宋体"/>
      <w:kern w:val="1"/>
      <w:sz w:val="24"/>
      <w:szCs w:val="24"/>
    </w:rPr>
  </w:style>
  <w:style w:type="character" w:styleId="a6">
    <w:name w:val="Hyperlink"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0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</a:majorFont>
      <a:minorFont>
        <a:latin typeface="Calibri"/>
        <a:ea typeface="宋体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552</Words>
  <Characters>3151</Characters>
  <Application>Microsoft Office Word</Application>
  <DocSecurity>0</DocSecurity>
  <Lines>26</Lines>
  <Paragraphs>7</Paragraphs>
  <ScaleCrop>false</ScaleCrop>
  <Company/>
  <LinksUpToDate>false</LinksUpToDate>
  <CharactersWithSpaces>3696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xb21cn</cp:lastModifiedBy>
  <cp:revision>22</cp:revision>
  <dcterms:created xsi:type="dcterms:W3CDTF">2018-10-19T03:10:00Z</dcterms:created>
  <dcterms:modified xsi:type="dcterms:W3CDTF">2021-01-14T04:02:00Z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