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方正小标宋简体" w:hAnsi="方正小标宋简体" w:eastAsia="方正小标宋简体" w:cs="方正小标宋简体"/>
          <w:sz w:val="52"/>
          <w:szCs w:val="52"/>
        </w:rPr>
      </w:pPr>
    </w:p>
    <w:p>
      <w:pPr>
        <w:jc w:val="center"/>
        <w:rPr>
          <w:rFonts w:ascii="仿宋_GB2312" w:hAnsi="仿宋_GB2312" w:eastAsia="隶书" w:cs="仿宋_GB2312"/>
          <w:sz w:val="44"/>
          <w:szCs w:val="44"/>
        </w:rPr>
      </w:pPr>
      <w:r>
        <w:rPr>
          <w:rFonts w:hint="eastAsia" w:ascii="隶书" w:hAnsi="隶书" w:eastAsia="隶书" w:cs="隶书"/>
          <w:sz w:val="52"/>
          <w:szCs w:val="52"/>
        </w:rPr>
        <w:t>项城市人民检察院</w:t>
      </w:r>
    </w:p>
    <w:p>
      <w:pPr>
        <w:jc w:val="center"/>
        <w:rPr>
          <w:rFonts w:ascii="黑体" w:hAnsi="黑体" w:eastAsia="黑体" w:cs="黑体"/>
          <w:sz w:val="52"/>
          <w:szCs w:val="52"/>
        </w:rPr>
      </w:pPr>
    </w:p>
    <w:p>
      <w:pPr>
        <w:jc w:val="center"/>
        <w:rPr>
          <w:rFonts w:ascii="隶书" w:hAnsi="隶书" w:eastAsia="隶书" w:cs="隶书"/>
          <w:sz w:val="52"/>
          <w:szCs w:val="52"/>
        </w:rPr>
      </w:pPr>
      <w:r>
        <w:rPr>
          <w:rFonts w:hint="eastAsia" w:ascii="隶书" w:hAnsi="隶书" w:eastAsia="隶书" w:cs="隶书"/>
          <w:sz w:val="52"/>
          <w:szCs w:val="52"/>
        </w:rPr>
        <w:t>2019年度部门决算</w:t>
      </w: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r>
        <w:rPr>
          <w:rFonts w:hint="eastAsia" w:ascii="隶书" w:hAnsi="隶书" w:eastAsia="隶书" w:cs="隶书"/>
          <w:sz w:val="52"/>
          <w:szCs w:val="52"/>
        </w:rPr>
        <w:t>二O二O年十月</w:t>
      </w:r>
    </w:p>
    <w:p>
      <w:pPr>
        <w:jc w:val="center"/>
        <w:rPr>
          <w:rFonts w:ascii="隶书" w:hAnsi="隶书" w:eastAsia="隶书" w:cs="隶书"/>
          <w:sz w:val="52"/>
          <w:szCs w:val="52"/>
        </w:rPr>
      </w:pPr>
    </w:p>
    <w:p>
      <w:pPr>
        <w:rPr>
          <w:rFonts w:ascii="隶书" w:hAnsi="隶书" w:eastAsia="隶书" w:cs="隶书"/>
          <w:sz w:val="52"/>
          <w:szCs w:val="52"/>
        </w:rPr>
        <w:sectPr>
          <w:headerReference r:id="rId3" w:type="default"/>
          <w:headerReference r:id="rId4" w:type="even"/>
          <w:pgSz w:w="11906" w:h="16838"/>
          <w:pgMar w:top="1440" w:right="1531" w:bottom="1440" w:left="1587" w:header="850" w:footer="992" w:gutter="0"/>
          <w:pgNumType w:fmt="numberInDash" w:start="1"/>
          <w:cols w:space="0" w:num="1"/>
          <w:docGrid w:type="linesAndChars" w:linePitch="317" w:charSpace="0"/>
        </w:sectPr>
      </w:pP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项城市人民检察院概况</w:t>
      </w:r>
    </w:p>
    <w:p>
      <w:pPr>
        <w:numPr>
          <w:ilvl w:val="0"/>
          <w:numId w:val="1"/>
        </w:numPr>
        <w:jc w:val="left"/>
        <w:rPr>
          <w:rFonts w:ascii="宋体" w:hAnsi="宋体" w:cs="宋体"/>
          <w:sz w:val="32"/>
          <w:szCs w:val="32"/>
        </w:rPr>
      </w:pPr>
      <w:r>
        <w:rPr>
          <w:rFonts w:hint="eastAsia" w:ascii="宋体" w:hAnsi="宋体" w:cs="宋体"/>
          <w:sz w:val="32"/>
          <w:szCs w:val="32"/>
        </w:rPr>
        <w:t>主要职责</w:t>
      </w:r>
    </w:p>
    <w:p>
      <w:pPr>
        <w:numPr>
          <w:ilvl w:val="0"/>
          <w:numId w:val="1"/>
        </w:numPr>
        <w:jc w:val="left"/>
        <w:rPr>
          <w:rFonts w:ascii="宋体" w:hAnsi="宋体" w:cs="宋体"/>
          <w:sz w:val="32"/>
          <w:szCs w:val="32"/>
        </w:rPr>
      </w:pPr>
      <w:r>
        <w:rPr>
          <w:rFonts w:hint="eastAsia" w:ascii="宋体" w:hAnsi="宋体" w:cs="宋体"/>
          <w:sz w:val="32"/>
          <w:szCs w:val="32"/>
        </w:rPr>
        <w:t>部门决算单位构成</w:t>
      </w:r>
    </w:p>
    <w:p>
      <w:pPr>
        <w:jc w:val="left"/>
        <w:rPr>
          <w:rFonts w:ascii="黑体" w:hAnsi="黑体" w:eastAsia="黑体" w:cs="黑体"/>
          <w:sz w:val="32"/>
          <w:szCs w:val="32"/>
        </w:rPr>
      </w:pPr>
      <w:r>
        <w:rPr>
          <w:rFonts w:hint="eastAsia" w:ascii="黑体" w:hAnsi="黑体" w:eastAsia="黑体" w:cs="黑体"/>
          <w:sz w:val="32"/>
          <w:szCs w:val="32"/>
        </w:rPr>
        <w:t>第二部分　　项城市人民检察院2019年度部门决算表</w:t>
      </w:r>
    </w:p>
    <w:p>
      <w:pPr>
        <w:jc w:val="left"/>
        <w:rPr>
          <w:rFonts w:ascii="宋体" w:hAnsi="宋体" w:cs="宋体"/>
          <w:sz w:val="32"/>
          <w:szCs w:val="32"/>
        </w:rPr>
      </w:pPr>
      <w:r>
        <w:rPr>
          <w:rFonts w:hint="eastAsia" w:ascii="宋体" w:hAnsi="宋体" w:cs="宋体"/>
          <w:sz w:val="32"/>
          <w:szCs w:val="32"/>
        </w:rPr>
        <w:t>一、收入支出决算总表</w:t>
      </w:r>
    </w:p>
    <w:p>
      <w:pPr>
        <w:jc w:val="left"/>
        <w:rPr>
          <w:rFonts w:ascii="宋体" w:hAnsi="宋体" w:cs="宋体"/>
          <w:sz w:val="32"/>
          <w:szCs w:val="32"/>
        </w:rPr>
      </w:pPr>
      <w:r>
        <w:rPr>
          <w:rFonts w:hint="eastAsia" w:ascii="宋体" w:hAnsi="宋体" w:cs="宋体"/>
          <w:sz w:val="32"/>
          <w:szCs w:val="32"/>
        </w:rPr>
        <w:t>二、收入决算表</w:t>
      </w:r>
    </w:p>
    <w:p>
      <w:pPr>
        <w:jc w:val="left"/>
        <w:rPr>
          <w:rFonts w:ascii="宋体" w:hAnsi="宋体" w:cs="宋体"/>
          <w:sz w:val="32"/>
          <w:szCs w:val="32"/>
        </w:rPr>
      </w:pPr>
      <w:r>
        <w:rPr>
          <w:rFonts w:hint="eastAsia" w:ascii="宋体" w:hAnsi="宋体" w:cs="宋体"/>
          <w:sz w:val="32"/>
          <w:szCs w:val="32"/>
        </w:rPr>
        <w:t>三、支出决算表</w:t>
      </w:r>
    </w:p>
    <w:p>
      <w:pPr>
        <w:jc w:val="left"/>
        <w:rPr>
          <w:rFonts w:ascii="宋体" w:hAnsi="宋体" w:cs="宋体"/>
          <w:sz w:val="32"/>
          <w:szCs w:val="32"/>
        </w:rPr>
      </w:pPr>
      <w:r>
        <w:rPr>
          <w:rFonts w:hint="eastAsia" w:ascii="宋体" w:hAnsi="宋体" w:cs="宋体"/>
          <w:sz w:val="32"/>
          <w:szCs w:val="32"/>
        </w:rPr>
        <w:t>四、财政拨款收入支出决算总表</w:t>
      </w:r>
    </w:p>
    <w:p>
      <w:pPr>
        <w:jc w:val="left"/>
        <w:rPr>
          <w:rFonts w:ascii="宋体" w:hAnsi="宋体" w:cs="宋体"/>
          <w:sz w:val="32"/>
          <w:szCs w:val="32"/>
        </w:rPr>
      </w:pPr>
      <w:r>
        <w:rPr>
          <w:rFonts w:hint="eastAsia" w:ascii="宋体" w:hAnsi="宋体" w:cs="宋体"/>
          <w:sz w:val="32"/>
          <w:szCs w:val="32"/>
        </w:rPr>
        <w:t>五、一般公共预算财政拨款支出决算表</w:t>
      </w:r>
    </w:p>
    <w:p>
      <w:pPr>
        <w:jc w:val="left"/>
        <w:rPr>
          <w:rFonts w:ascii="宋体" w:hAnsi="宋体" w:cs="宋体"/>
          <w:sz w:val="32"/>
          <w:szCs w:val="32"/>
        </w:rPr>
      </w:pPr>
      <w:r>
        <w:rPr>
          <w:rFonts w:hint="eastAsia" w:ascii="宋体" w:hAnsi="宋体" w:cs="宋体"/>
          <w:sz w:val="32"/>
          <w:szCs w:val="32"/>
        </w:rPr>
        <w:t>六、一般公共预算财政拨款基本支出决算表</w:t>
      </w:r>
    </w:p>
    <w:p>
      <w:pPr>
        <w:jc w:val="left"/>
        <w:rPr>
          <w:rFonts w:ascii="宋体" w:hAnsi="宋体" w:cs="宋体"/>
          <w:sz w:val="32"/>
          <w:szCs w:val="32"/>
        </w:rPr>
      </w:pPr>
      <w:r>
        <w:rPr>
          <w:rFonts w:hint="eastAsia" w:ascii="宋体" w:hAnsi="宋体" w:cs="宋体"/>
          <w:sz w:val="32"/>
          <w:szCs w:val="32"/>
        </w:rPr>
        <w:t>七、一般公共预算财政拨款“三公”经费支出决算表</w:t>
      </w:r>
    </w:p>
    <w:p>
      <w:pPr>
        <w:jc w:val="left"/>
        <w:rPr>
          <w:rFonts w:ascii="宋体" w:hAnsi="宋体" w:cs="宋体"/>
          <w:sz w:val="32"/>
          <w:szCs w:val="32"/>
        </w:rPr>
      </w:pPr>
      <w:r>
        <w:rPr>
          <w:rFonts w:hint="eastAsia" w:ascii="宋体" w:hAnsi="宋体" w:cs="宋体"/>
          <w:sz w:val="32"/>
          <w:szCs w:val="32"/>
        </w:rPr>
        <w:t>八、政府性基金预算财政拨款收入支出决算表</w:t>
      </w:r>
    </w:p>
    <w:p>
      <w:pPr>
        <w:jc w:val="left"/>
        <w:rPr>
          <w:rFonts w:ascii="黑体" w:hAnsi="黑体" w:eastAsia="黑体" w:cs="黑体"/>
          <w:sz w:val="32"/>
          <w:szCs w:val="32"/>
        </w:rPr>
      </w:pPr>
      <w:r>
        <w:rPr>
          <w:rFonts w:hint="eastAsia" w:ascii="黑体" w:hAnsi="黑体" w:eastAsia="黑体" w:cs="黑体"/>
          <w:sz w:val="32"/>
          <w:szCs w:val="32"/>
        </w:rPr>
        <w:t>第三部分　　项城市人民检察院2019年度部门决算情况说明</w:t>
      </w:r>
    </w:p>
    <w:p>
      <w:pPr>
        <w:jc w:val="left"/>
        <w:rPr>
          <w:rFonts w:ascii="黑体" w:hAnsi="黑体" w:eastAsia="黑体" w:cs="黑体"/>
          <w:sz w:val="32"/>
          <w:szCs w:val="32"/>
        </w:rPr>
        <w:sectPr>
          <w:footerReference r:id="rId5" w:type="default"/>
          <w:pgSz w:w="11906" w:h="16838"/>
          <w:pgMar w:top="1440" w:right="1531" w:bottom="1440" w:left="1587" w:header="850" w:footer="992" w:gutter="0"/>
          <w:pgNumType w:fmt="numberInDash"/>
          <w:cols w:space="0" w:num="1"/>
          <w:docGrid w:type="linesAndChars" w:linePitch="317" w:charSpace="0"/>
        </w:sectPr>
      </w:pPr>
      <w:r>
        <w:rPr>
          <w:rFonts w:hint="eastAsia" w:ascii="黑体" w:hAnsi="黑体" w:eastAsia="黑体" w:cs="黑体"/>
          <w:sz w:val="32"/>
          <w:szCs w:val="32"/>
        </w:rPr>
        <w:t>第四部分　　名词解释</w:t>
      </w: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outlineLvl w:val="0"/>
        <w:rPr>
          <w:rFonts w:ascii="隶书" w:hAnsi="隶书" w:eastAsia="隶书" w:cs="隶书"/>
          <w:sz w:val="48"/>
          <w:szCs w:val="48"/>
        </w:rPr>
      </w:pPr>
    </w:p>
    <w:p>
      <w:pPr>
        <w:jc w:val="center"/>
        <w:outlineLvl w:val="0"/>
        <w:rPr>
          <w:rFonts w:ascii="隶书" w:hAnsi="隶书" w:eastAsia="隶书" w:cs="隶书"/>
          <w:sz w:val="48"/>
          <w:szCs w:val="48"/>
        </w:rPr>
      </w:pPr>
      <w:r>
        <w:rPr>
          <w:rFonts w:hint="eastAsia" w:ascii="隶书" w:hAnsi="隶书" w:eastAsia="隶书" w:cs="隶书"/>
          <w:sz w:val="48"/>
          <w:szCs w:val="48"/>
        </w:rPr>
        <w:t>第一部分　　项城市人民检察院概况</w:t>
      </w:r>
    </w:p>
    <w:p>
      <w:pPr>
        <w:jc w:val="center"/>
        <w:outlineLvl w:val="0"/>
        <w:rPr>
          <w:rFonts w:ascii="隶书" w:hAnsi="隶书" w:eastAsia="隶书" w:cs="隶书"/>
          <w:sz w:val="48"/>
          <w:szCs w:val="48"/>
        </w:rPr>
        <w:sectPr>
          <w:footerReference r:id="rId6" w:type="default"/>
          <w:pgSz w:w="11906" w:h="16838"/>
          <w:pgMar w:top="1440" w:right="1531" w:bottom="1440" w:left="1587" w:header="850" w:footer="992" w:gutter="0"/>
          <w:pgNumType w:fmt="numberInDash" w:start="1"/>
          <w:cols w:space="0" w:num="1"/>
          <w:docGrid w:type="linesAndChars" w:linePitch="317" w:charSpace="0"/>
        </w:sectPr>
      </w:pPr>
    </w:p>
    <w:p>
      <w:pPr>
        <w:numPr>
          <w:ilvl w:val="0"/>
          <w:numId w:val="2"/>
        </w:num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主要职责</w:t>
      </w:r>
    </w:p>
    <w:p>
      <w:pPr>
        <w:pStyle w:val="7"/>
        <w:adjustRightInd w:val="0"/>
        <w:snapToGrid w:val="0"/>
        <w:spacing w:line="360" w:lineRule="auto"/>
        <w:ind w:left="420" w:firstLine="320" w:firstLineChars="100"/>
        <w:outlineLvl w:val="0"/>
        <w:rPr>
          <w:rFonts w:ascii="黑体" w:hAnsi="黑体" w:eastAsia="黑体"/>
          <w:sz w:val="32"/>
          <w:szCs w:val="32"/>
        </w:rPr>
      </w:pPr>
      <w:r>
        <w:rPr>
          <w:rFonts w:hint="eastAsia" w:ascii="黑体" w:hAnsi="黑体" w:eastAsia="黑体"/>
          <w:sz w:val="32"/>
          <w:szCs w:val="32"/>
        </w:rPr>
        <w:t>项城市人民检察院主要职能</w:t>
      </w:r>
    </w:p>
    <w:p>
      <w:pPr>
        <w:spacing w:line="360" w:lineRule="auto"/>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项城市人民检察院是国家的法律监督机关，对市人民代表大会及其常务委员会负责并报告工作，主要职责是：</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(一)依照法律规定对有关刑事案件行使侦查权;</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(二)对刑事案件进行审查，批准或者决定是否逮捕犯罪嫌疑人;</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(三)对刑事案件进行审查，决定是否提起公诉，对决定提起公诉的案件支持公诉;</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(四)依照法律规定提起公益诉讼;</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(五)对诉讼活动实行法律监督;</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(六)对判决、裁定等生效法律文书的执行工作实行法律监督;</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(七)对监狱、看守所的执法活动实行法律监督;</w:t>
      </w:r>
    </w:p>
    <w:p>
      <w:pPr>
        <w:spacing w:line="360" w:lineRule="auto"/>
        <w:ind w:firstLine="640" w:firstLineChars="200"/>
        <w:jc w:val="left"/>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(八)法律规定的其他职权。</w:t>
      </w:r>
    </w:p>
    <w:p>
      <w:p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二、部门决算单位构成</w:t>
      </w:r>
    </w:p>
    <w:p>
      <w:pPr>
        <w:spacing w:line="360" w:lineRule="auto"/>
        <w:ind w:firstLine="640" w:firstLineChars="20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项城市人民检察院决算包含项城市人民检察院机关，本单位没有二级机构。</w:t>
      </w:r>
    </w:p>
    <w:p>
      <w:pPr>
        <w:spacing w:line="360" w:lineRule="auto"/>
        <w:ind w:firstLine="640" w:firstLineChars="200"/>
        <w:jc w:val="left"/>
        <w:rPr>
          <w:rFonts w:ascii="隶书" w:hAnsi="隶书" w:eastAsia="隶书" w:cs="隶书"/>
          <w:sz w:val="48"/>
          <w:szCs w:val="48"/>
        </w:rPr>
      </w:pPr>
      <w:r>
        <w:rPr>
          <w:rFonts w:hint="eastAsia" w:ascii="仿宋" w:hAnsi="仿宋" w:eastAsia="仿宋" w:cs="宋体"/>
          <w:color w:val="000000"/>
          <w:kern w:val="0"/>
          <w:sz w:val="32"/>
          <w:szCs w:val="32"/>
        </w:rPr>
        <w:t>项城市人民检察院中央政法编制69个，实有人数96人，内设8个处局科室</w:t>
      </w:r>
      <w:r>
        <w:rPr>
          <w:rFonts w:hint="eastAsia"/>
          <w:sz w:val="32"/>
          <w:szCs w:val="32"/>
        </w:rPr>
        <w:t>为：办公室、政治处、第一检察部、第二检察部、第三检察部、第四检察部、第五检察部和综合业务部。</w:t>
      </w:r>
      <w:r>
        <w:rPr>
          <w:rFonts w:hint="eastAsia" w:ascii="仿宋" w:hAnsi="仿宋" w:eastAsia="仿宋" w:cs="宋体"/>
          <w:color w:val="000000"/>
          <w:kern w:val="0"/>
          <w:sz w:val="32"/>
          <w:szCs w:val="32"/>
        </w:rPr>
        <w:t>，离退休干部41人。</w:t>
      </w: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outlineLvl w:val="0"/>
        <w:rPr>
          <w:rFonts w:ascii="隶书" w:hAnsi="隶书" w:eastAsia="隶书" w:cs="隶书"/>
          <w:sz w:val="48"/>
          <w:szCs w:val="48"/>
        </w:rPr>
      </w:pPr>
    </w:p>
    <w:p>
      <w:pPr>
        <w:ind w:firstLine="5760" w:firstLineChars="1200"/>
        <w:outlineLvl w:val="0"/>
        <w:rPr>
          <w:rFonts w:ascii="隶书" w:hAnsi="隶书" w:eastAsia="隶书" w:cs="隶书"/>
          <w:sz w:val="48"/>
          <w:szCs w:val="48"/>
        </w:rPr>
      </w:pPr>
    </w:p>
    <w:p>
      <w:pPr>
        <w:ind w:firstLine="5760" w:firstLineChars="1200"/>
        <w:outlineLvl w:val="0"/>
        <w:rPr>
          <w:rFonts w:ascii="隶书" w:hAnsi="隶书" w:eastAsia="隶书" w:cs="隶书"/>
          <w:sz w:val="48"/>
          <w:szCs w:val="48"/>
        </w:rPr>
      </w:pPr>
    </w:p>
    <w:p>
      <w:pPr>
        <w:ind w:firstLine="5760" w:firstLineChars="12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p>
    <w:p>
      <w:pPr>
        <w:ind w:firstLine="6240" w:firstLineChars="1300"/>
        <w:outlineLvl w:val="0"/>
        <w:rPr>
          <w:rFonts w:ascii="隶书" w:hAnsi="隶书" w:eastAsia="隶书" w:cs="隶书"/>
          <w:sz w:val="48"/>
          <w:szCs w:val="48"/>
        </w:rPr>
      </w:pPr>
      <w:r>
        <w:rPr>
          <w:rFonts w:hint="eastAsia" w:ascii="隶书" w:hAnsi="隶书" w:eastAsia="隶书" w:cs="隶书"/>
          <w:sz w:val="48"/>
          <w:szCs w:val="48"/>
        </w:rPr>
        <w:t>第二部分</w:t>
      </w:r>
    </w:p>
    <w:p>
      <w:pPr>
        <w:jc w:val="center"/>
        <w:rPr>
          <w:rFonts w:ascii="隶书" w:hAnsi="隶书" w:eastAsia="隶书" w:cs="隶书"/>
          <w:sz w:val="48"/>
          <w:szCs w:val="48"/>
        </w:rPr>
      </w:pPr>
      <w:r>
        <w:rPr>
          <w:rFonts w:hint="eastAsia" w:ascii="隶书" w:hAnsi="隶书" w:eastAsia="隶书" w:cs="隶书"/>
          <w:sz w:val="48"/>
          <w:szCs w:val="48"/>
        </w:rPr>
        <w:t>项城市人民检察院2019年度部门决算表</w:t>
      </w: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tbl>
      <w:tblPr>
        <w:tblStyle w:val="6"/>
        <w:tblW w:w="14070" w:type="dxa"/>
        <w:tblInd w:w="0" w:type="dxa"/>
        <w:tblLayout w:type="fixed"/>
        <w:tblCellMar>
          <w:top w:w="0" w:type="dxa"/>
          <w:left w:w="0" w:type="dxa"/>
          <w:bottom w:w="0" w:type="dxa"/>
          <w:right w:w="0" w:type="dxa"/>
        </w:tblCellMar>
      </w:tblPr>
      <w:tblGrid>
        <w:gridCol w:w="4215"/>
        <w:gridCol w:w="570"/>
        <w:gridCol w:w="2250"/>
        <w:gridCol w:w="4215"/>
        <w:gridCol w:w="570"/>
        <w:gridCol w:w="2250"/>
      </w:tblGrid>
      <w:tr>
        <w:tblPrEx>
          <w:tblLayout w:type="fixed"/>
          <w:tblCellMar>
            <w:top w:w="0" w:type="dxa"/>
            <w:left w:w="0" w:type="dxa"/>
            <w:bottom w:w="0" w:type="dxa"/>
            <w:right w:w="0" w:type="dxa"/>
          </w:tblCellMar>
        </w:tblPrEx>
        <w:trPr>
          <w:trHeight w:val="390" w:hRule="atLeast"/>
        </w:trPr>
        <w:tc>
          <w:tcPr>
            <w:tcW w:w="14070" w:type="dxa"/>
            <w:gridSpan w:val="6"/>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收入支出决算总表</w:t>
            </w:r>
          </w:p>
        </w:tc>
      </w:tr>
      <w:tr>
        <w:tblPrEx>
          <w:tblLayout w:type="fixed"/>
          <w:tblCellMar>
            <w:top w:w="0" w:type="dxa"/>
            <w:left w:w="0" w:type="dxa"/>
            <w:bottom w:w="0" w:type="dxa"/>
            <w:right w:w="0" w:type="dxa"/>
          </w:tblCellMar>
        </w:tblPrEx>
        <w:trPr>
          <w:trHeight w:val="255" w:hRule="atLeast"/>
        </w:trPr>
        <w:tc>
          <w:tcPr>
            <w:tcW w:w="42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2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42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250"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公开01表</w:t>
            </w:r>
          </w:p>
        </w:tc>
      </w:tr>
      <w:tr>
        <w:tblPrEx>
          <w:tblLayout w:type="fixed"/>
          <w:tblCellMar>
            <w:top w:w="0" w:type="dxa"/>
            <w:left w:w="0" w:type="dxa"/>
            <w:bottom w:w="0" w:type="dxa"/>
            <w:right w:w="0" w:type="dxa"/>
          </w:tblCellMar>
        </w:tblPrEx>
        <w:trPr>
          <w:trHeight w:val="255" w:hRule="atLeast"/>
        </w:trPr>
        <w:tc>
          <w:tcPr>
            <w:tcW w:w="4215" w:type="dxa"/>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tc>
        <w:tc>
          <w:tcPr>
            <w:tcW w:w="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2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421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250"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trHeight w:val="308" w:hRule="atLeast"/>
        </w:trPr>
        <w:tc>
          <w:tcPr>
            <w:tcW w:w="7035" w:type="dxa"/>
            <w:gridSpan w:val="3"/>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7035"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22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22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2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25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一、财政拨款收入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一、一般公共服务支出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28</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二、上级补助收入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二、外交支出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29</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三、事业收入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三、国防支出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30</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四、经营收入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四、公共安全支出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五、附属单位上缴收入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五、教育支出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六、其他收入</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六、科学技术支出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七、文化体育与传媒支出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八、社会保障和就业支出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35</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九、医疗卫生与计划生育支出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36</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十、节能环保支出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37</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十一、城乡社区支出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38</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十二、农林水支出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39</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十三、交通运输支出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40</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十四、资源勘探信息等支出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15</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十五、商业服务业等支出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16</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十六、金融支出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17</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十七、援助其他地区支出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18</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十八、国土海洋气象等支出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45</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19</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十九、住房保障支出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46</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20</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二十、粮油物资储备支出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47</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二十一、其他支出</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48</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49</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本年收入合计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本年支出合计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50</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用事业基金弥补收支差额</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结余分配</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51</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25</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52</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26</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53</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4215"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总计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27</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421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总计</w:t>
            </w:r>
          </w:p>
        </w:tc>
        <w:tc>
          <w:tcPr>
            <w:tcW w:w="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54</w:t>
            </w:r>
          </w:p>
        </w:tc>
        <w:tc>
          <w:tcPr>
            <w:tcW w:w="22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r>
      <w:tr>
        <w:tblPrEx>
          <w:tblLayout w:type="fixed"/>
          <w:tblCellMar>
            <w:top w:w="0" w:type="dxa"/>
            <w:left w:w="0" w:type="dxa"/>
            <w:bottom w:w="0" w:type="dxa"/>
            <w:right w:w="0" w:type="dxa"/>
          </w:tblCellMar>
        </w:tblPrEx>
        <w:trPr>
          <w:trHeight w:val="308" w:hRule="atLeast"/>
        </w:trPr>
        <w:tc>
          <w:tcPr>
            <w:tcW w:w="14070" w:type="dxa"/>
            <w:gridSpan w:val="6"/>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注：本表反映部门本年度的总收支和年末结转结余情况。本表金额转换为万元时，因四舍五入可能存在尾差。</w:t>
            </w:r>
          </w:p>
        </w:tc>
      </w:tr>
    </w:tbl>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tbl>
      <w:tblPr>
        <w:tblStyle w:val="6"/>
        <w:tblW w:w="14736" w:type="dxa"/>
        <w:tblInd w:w="0" w:type="dxa"/>
        <w:tblLayout w:type="fixed"/>
        <w:tblCellMar>
          <w:top w:w="0" w:type="dxa"/>
          <w:left w:w="0" w:type="dxa"/>
          <w:bottom w:w="0" w:type="dxa"/>
          <w:right w:w="0" w:type="dxa"/>
        </w:tblCellMar>
      </w:tblPr>
      <w:tblGrid>
        <w:gridCol w:w="3423"/>
        <w:gridCol w:w="50"/>
        <w:gridCol w:w="50"/>
        <w:gridCol w:w="3763"/>
        <w:gridCol w:w="1469"/>
        <w:gridCol w:w="1469"/>
        <w:gridCol w:w="1527"/>
        <w:gridCol w:w="540"/>
        <w:gridCol w:w="540"/>
        <w:gridCol w:w="676"/>
        <w:gridCol w:w="1229"/>
      </w:tblGrid>
      <w:tr>
        <w:tblPrEx>
          <w:tblLayout w:type="fixed"/>
          <w:tblCellMar>
            <w:top w:w="0" w:type="dxa"/>
            <w:left w:w="0" w:type="dxa"/>
            <w:bottom w:w="0" w:type="dxa"/>
            <w:right w:w="0" w:type="dxa"/>
          </w:tblCellMar>
        </w:tblPrEx>
        <w:trPr>
          <w:trHeight w:val="390" w:hRule="atLeast"/>
        </w:trPr>
        <w:tc>
          <w:tcPr>
            <w:tcW w:w="14736" w:type="dxa"/>
            <w:gridSpan w:val="11"/>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收入决算表</w:t>
            </w:r>
          </w:p>
        </w:tc>
      </w:tr>
      <w:tr>
        <w:tblPrEx>
          <w:tblLayout w:type="fixed"/>
          <w:tblCellMar>
            <w:top w:w="0" w:type="dxa"/>
            <w:left w:w="0" w:type="dxa"/>
            <w:bottom w:w="0" w:type="dxa"/>
            <w:right w:w="0" w:type="dxa"/>
          </w:tblCellMar>
        </w:tblPrEx>
        <w:trPr>
          <w:trHeight w:val="255" w:hRule="atLeast"/>
        </w:trPr>
        <w:tc>
          <w:tcPr>
            <w:tcW w:w="342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7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52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7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29"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公开02表</w:t>
            </w:r>
          </w:p>
        </w:tc>
      </w:tr>
      <w:tr>
        <w:tblPrEx>
          <w:tblLayout w:type="fixed"/>
          <w:tblCellMar>
            <w:top w:w="0" w:type="dxa"/>
            <w:left w:w="0" w:type="dxa"/>
            <w:bottom w:w="0" w:type="dxa"/>
            <w:right w:w="0" w:type="dxa"/>
          </w:tblCellMar>
        </w:tblPrEx>
        <w:trPr>
          <w:trHeight w:val="255" w:hRule="atLeast"/>
        </w:trPr>
        <w:tc>
          <w:tcPr>
            <w:tcW w:w="3423" w:type="dxa"/>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76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52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7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29"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trHeight w:val="308" w:hRule="atLeast"/>
        </w:trPr>
        <w:tc>
          <w:tcPr>
            <w:tcW w:w="7286"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146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本年收入合计</w:t>
            </w:r>
          </w:p>
        </w:tc>
        <w:tc>
          <w:tcPr>
            <w:tcW w:w="146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财政拨款收入</w:t>
            </w:r>
          </w:p>
        </w:tc>
        <w:tc>
          <w:tcPr>
            <w:tcW w:w="1527"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上级补助收入</w:t>
            </w:r>
          </w:p>
        </w:tc>
        <w:tc>
          <w:tcPr>
            <w:tcW w:w="54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事业收入</w:t>
            </w:r>
          </w:p>
        </w:tc>
        <w:tc>
          <w:tcPr>
            <w:tcW w:w="54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经营收入</w:t>
            </w:r>
          </w:p>
        </w:tc>
        <w:tc>
          <w:tcPr>
            <w:tcW w:w="67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附属单位上缴收入</w:t>
            </w:r>
          </w:p>
        </w:tc>
        <w:tc>
          <w:tcPr>
            <w:tcW w:w="1229"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其他收入</w:t>
            </w:r>
          </w:p>
        </w:tc>
      </w:tr>
      <w:tr>
        <w:tblPrEx>
          <w:tblLayout w:type="fixed"/>
          <w:tblCellMar>
            <w:top w:w="0" w:type="dxa"/>
            <w:left w:w="0" w:type="dxa"/>
            <w:bottom w:w="0" w:type="dxa"/>
            <w:right w:w="0" w:type="dxa"/>
          </w:tblCellMar>
        </w:tblPrEx>
        <w:trPr>
          <w:trHeight w:val="312" w:hRule="atLeast"/>
        </w:trPr>
        <w:tc>
          <w:tcPr>
            <w:tcW w:w="3523"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376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5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6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22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12" w:hRule="atLeast"/>
        </w:trPr>
        <w:tc>
          <w:tcPr>
            <w:tcW w:w="352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76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5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6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22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12" w:hRule="atLeast"/>
        </w:trPr>
        <w:tc>
          <w:tcPr>
            <w:tcW w:w="3523"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76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527"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4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67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229"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728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46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46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527"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5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54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67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122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r>
      <w:tr>
        <w:tblPrEx>
          <w:tblLayout w:type="fixed"/>
          <w:tblCellMar>
            <w:top w:w="0" w:type="dxa"/>
            <w:left w:w="0" w:type="dxa"/>
            <w:bottom w:w="0" w:type="dxa"/>
            <w:right w:w="0" w:type="dxa"/>
          </w:tblCellMar>
        </w:tblPrEx>
        <w:trPr>
          <w:trHeight w:val="308" w:hRule="atLeast"/>
        </w:trPr>
        <w:tc>
          <w:tcPr>
            <w:tcW w:w="7286"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24,875,935.00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24,875,935.00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公共安全支出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检察</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行政运行</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2040402</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一般行政管理事务</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2040499</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其他检察支出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社会保障和就业支出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行政事业单位离退休</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2080505</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抚恤</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2080801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 xml:space="preserve">  死亡抚恤</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其他社会保障和就业支出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2089901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其他社会保障和就业支出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医疗卫生与计划生育支出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行政事业单位医疗</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2101101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行政单位医疗</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2101199</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其他行政事业单位医疗支出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住房保障支出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住房改革支出</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textDirection w:val="lrTb"/>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352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2210201</w:t>
            </w:r>
          </w:p>
        </w:tc>
        <w:tc>
          <w:tcPr>
            <w:tcW w:w="3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住房公积金</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52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4736" w:type="dxa"/>
            <w:gridSpan w:val="11"/>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注：本表反映部门本年度取得的各项收入情况。本表金额转换为万元时，因四舍五入可能存在尾差。</w:t>
            </w:r>
          </w:p>
        </w:tc>
      </w:tr>
    </w:tbl>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tbl>
      <w:tblPr>
        <w:tblStyle w:val="6"/>
        <w:tblW w:w="14736" w:type="dxa"/>
        <w:tblInd w:w="0" w:type="dxa"/>
        <w:tblLayout w:type="fixed"/>
        <w:tblCellMar>
          <w:top w:w="0" w:type="dxa"/>
          <w:left w:w="0" w:type="dxa"/>
          <w:bottom w:w="0" w:type="dxa"/>
          <w:right w:w="0" w:type="dxa"/>
        </w:tblCellMar>
      </w:tblPr>
      <w:tblGrid>
        <w:gridCol w:w="1467"/>
        <w:gridCol w:w="51"/>
        <w:gridCol w:w="51"/>
        <w:gridCol w:w="1610"/>
        <w:gridCol w:w="309"/>
        <w:gridCol w:w="1454"/>
        <w:gridCol w:w="1466"/>
        <w:gridCol w:w="974"/>
        <w:gridCol w:w="981"/>
        <w:gridCol w:w="485"/>
        <w:gridCol w:w="290"/>
        <w:gridCol w:w="1045"/>
        <w:gridCol w:w="409"/>
        <w:gridCol w:w="154"/>
        <w:gridCol w:w="309"/>
        <w:gridCol w:w="268"/>
        <w:gridCol w:w="280"/>
        <w:gridCol w:w="442"/>
        <w:gridCol w:w="284"/>
        <w:gridCol w:w="637"/>
        <w:gridCol w:w="425"/>
        <w:gridCol w:w="1345"/>
      </w:tblGrid>
      <w:tr>
        <w:tblPrEx>
          <w:tblLayout w:type="fixed"/>
          <w:tblCellMar>
            <w:top w:w="0" w:type="dxa"/>
            <w:left w:w="0" w:type="dxa"/>
            <w:bottom w:w="0" w:type="dxa"/>
            <w:right w:w="0" w:type="dxa"/>
          </w:tblCellMar>
        </w:tblPrEx>
        <w:trPr>
          <w:gridAfter w:val="1"/>
          <w:wAfter w:w="1345" w:type="dxa"/>
          <w:trHeight w:val="390" w:hRule="atLeast"/>
        </w:trPr>
        <w:tc>
          <w:tcPr>
            <w:tcW w:w="14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373"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955" w:type="dxa"/>
            <w:gridSpan w:val="2"/>
            <w:tcBorders>
              <w:top w:val="nil"/>
              <w:left w:val="nil"/>
              <w:bottom w:val="nil"/>
              <w:right w:val="nil"/>
            </w:tcBorders>
            <w:shd w:val="clear" w:color="auto" w:fill="auto"/>
            <w:tcMar>
              <w:top w:w="15" w:type="dxa"/>
              <w:left w:w="15" w:type="dxa"/>
              <w:right w:w="15" w:type="dxa"/>
            </w:tcMar>
            <w:vAlign w:val="bottom"/>
          </w:tcPr>
          <w:p>
            <w:pPr>
              <w:jc w:val="center"/>
              <w:textAlignment w:val="bottom"/>
              <w:rPr>
                <w:rFonts w:ascii="宋体" w:hAnsi="宋体" w:cs="宋体"/>
                <w:color w:val="000000"/>
                <w:sz w:val="30"/>
                <w:szCs w:val="30"/>
              </w:rPr>
            </w:pPr>
            <w:r>
              <w:rPr>
                <w:rFonts w:hint="eastAsia" w:ascii="宋体" w:hAnsi="宋体" w:cs="宋体"/>
                <w:color w:val="000000"/>
                <w:kern w:val="0"/>
                <w:sz w:val="30"/>
                <w:szCs w:val="30"/>
                <w:lang w:bidi="ar"/>
              </w:rPr>
              <w:t>支出决算表</w:t>
            </w:r>
          </w:p>
        </w:tc>
        <w:tc>
          <w:tcPr>
            <w:tcW w:w="182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20"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72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062"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r>
      <w:tr>
        <w:tblPrEx>
          <w:tblLayout w:type="fixed"/>
          <w:tblCellMar>
            <w:top w:w="0" w:type="dxa"/>
            <w:left w:w="0" w:type="dxa"/>
            <w:bottom w:w="0" w:type="dxa"/>
            <w:right w:w="0" w:type="dxa"/>
          </w:tblCellMar>
        </w:tblPrEx>
        <w:trPr>
          <w:gridAfter w:val="1"/>
          <w:wAfter w:w="1345" w:type="dxa"/>
          <w:trHeight w:val="255" w:hRule="atLeast"/>
        </w:trPr>
        <w:tc>
          <w:tcPr>
            <w:tcW w:w="14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373"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95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82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20"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72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062" w:type="dxa"/>
            <w:gridSpan w:val="2"/>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公开03表</w:t>
            </w:r>
          </w:p>
        </w:tc>
      </w:tr>
      <w:tr>
        <w:tblPrEx>
          <w:tblLayout w:type="fixed"/>
          <w:tblCellMar>
            <w:top w:w="0" w:type="dxa"/>
            <w:left w:w="0" w:type="dxa"/>
            <w:bottom w:w="0" w:type="dxa"/>
            <w:right w:w="0" w:type="dxa"/>
          </w:tblCellMar>
        </w:tblPrEx>
        <w:trPr>
          <w:gridAfter w:val="1"/>
          <w:wAfter w:w="1345" w:type="dxa"/>
          <w:trHeight w:val="255" w:hRule="atLeast"/>
        </w:trPr>
        <w:tc>
          <w:tcPr>
            <w:tcW w:w="13391" w:type="dxa"/>
            <w:gridSpan w:val="21"/>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gridAfter w:val="1"/>
          <w:wAfter w:w="1345" w:type="dxa"/>
          <w:trHeight w:val="308" w:hRule="atLeast"/>
        </w:trPr>
        <w:tc>
          <w:tcPr>
            <w:tcW w:w="4942"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1466"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本年支出合计</w:t>
            </w:r>
          </w:p>
        </w:tc>
        <w:tc>
          <w:tcPr>
            <w:tcW w:w="1955" w:type="dxa"/>
            <w:gridSpan w:val="2"/>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20" w:type="dxa"/>
            <w:gridSpan w:val="3"/>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c>
          <w:tcPr>
            <w:tcW w:w="1420" w:type="dxa"/>
            <w:gridSpan w:val="5"/>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上缴上级支出</w:t>
            </w:r>
          </w:p>
        </w:tc>
        <w:tc>
          <w:tcPr>
            <w:tcW w:w="726" w:type="dxa"/>
            <w:gridSpan w:val="2"/>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经营支出</w:t>
            </w:r>
          </w:p>
        </w:tc>
        <w:tc>
          <w:tcPr>
            <w:tcW w:w="1062" w:type="dxa"/>
            <w:gridSpan w:val="2"/>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对附属单位补助支出</w:t>
            </w:r>
          </w:p>
        </w:tc>
      </w:tr>
      <w:tr>
        <w:tblPrEx>
          <w:tblLayout w:type="fixed"/>
          <w:tblCellMar>
            <w:top w:w="0" w:type="dxa"/>
            <w:left w:w="0" w:type="dxa"/>
            <w:bottom w:w="0" w:type="dxa"/>
            <w:right w:w="0" w:type="dxa"/>
          </w:tblCellMar>
        </w:tblPrEx>
        <w:trPr>
          <w:gridAfter w:val="1"/>
          <w:wAfter w:w="1345" w:type="dxa"/>
          <w:trHeight w:val="312" w:hRule="atLeast"/>
        </w:trPr>
        <w:tc>
          <w:tcPr>
            <w:tcW w:w="156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3373" w:type="dxa"/>
            <w:gridSpan w:val="3"/>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46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955"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820" w:type="dxa"/>
            <w:gridSpan w:val="3"/>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20" w:type="dxa"/>
            <w:gridSpan w:val="5"/>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726"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062"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1"/>
          <w:wAfter w:w="1345" w:type="dxa"/>
          <w:trHeight w:val="312" w:hRule="atLeast"/>
        </w:trPr>
        <w:tc>
          <w:tcPr>
            <w:tcW w:w="15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373"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955"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820" w:type="dxa"/>
            <w:gridSpan w:val="3"/>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20" w:type="dxa"/>
            <w:gridSpan w:val="5"/>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726"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062"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1"/>
          <w:wAfter w:w="1345" w:type="dxa"/>
          <w:trHeight w:val="312" w:hRule="atLeast"/>
        </w:trPr>
        <w:tc>
          <w:tcPr>
            <w:tcW w:w="15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373"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6"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955"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820" w:type="dxa"/>
            <w:gridSpan w:val="3"/>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20" w:type="dxa"/>
            <w:gridSpan w:val="5"/>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726"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062" w:type="dxa"/>
            <w:gridSpan w:val="2"/>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1"/>
          <w:wAfter w:w="1345" w:type="dxa"/>
          <w:trHeight w:val="308" w:hRule="atLeast"/>
        </w:trPr>
        <w:tc>
          <w:tcPr>
            <w:tcW w:w="4942" w:type="dxa"/>
            <w:gridSpan w:val="6"/>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95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2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1420"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726"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1062"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tblPrEx>
          <w:tblLayout w:type="fixed"/>
          <w:tblCellMar>
            <w:top w:w="0" w:type="dxa"/>
            <w:left w:w="0" w:type="dxa"/>
            <w:bottom w:w="0" w:type="dxa"/>
            <w:right w:w="0" w:type="dxa"/>
          </w:tblCellMar>
        </w:tblPrEx>
        <w:trPr>
          <w:gridAfter w:val="1"/>
          <w:wAfter w:w="1345" w:type="dxa"/>
          <w:trHeight w:val="308" w:hRule="atLeast"/>
        </w:trPr>
        <w:tc>
          <w:tcPr>
            <w:tcW w:w="4942" w:type="dxa"/>
            <w:gridSpan w:val="6"/>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24,875,935.00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19,705,935.00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5,170,000.00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b/>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公共安全支出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5,170,000.00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检察</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5,170,000.00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行政运行</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2040402</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一般行政管理事务</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其他检察支出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社会保障和就业支出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行政事业单位离退休</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2080505</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抚恤</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 xml:space="preserve">  死亡抚恤</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其他社会保障和就业支出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其他社会保障和就业支出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医疗卫生与计划生育支出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行政事业单位医疗</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行政单位医疗</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其他行政事业单位医疗支出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住房保障支出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住房改革支出</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住房公积金</w:t>
            </w:r>
          </w:p>
        </w:tc>
        <w:tc>
          <w:tcPr>
            <w:tcW w:w="14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95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8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2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72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06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1"/>
          <w:wAfter w:w="1345" w:type="dxa"/>
          <w:trHeight w:val="308" w:hRule="atLeast"/>
        </w:trPr>
        <w:tc>
          <w:tcPr>
            <w:tcW w:w="13391" w:type="dxa"/>
            <w:gridSpan w:val="21"/>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注：本表反映部门本年度各项支出情况。本表金额转换为万元时，因四舍五入可能存在尾差。</w:t>
            </w:r>
          </w:p>
        </w:tc>
      </w:tr>
      <w:tr>
        <w:tblPrEx>
          <w:tblLayout w:type="fixed"/>
          <w:tblCellMar>
            <w:top w:w="0" w:type="dxa"/>
            <w:left w:w="0" w:type="dxa"/>
            <w:bottom w:w="0" w:type="dxa"/>
            <w:right w:w="0" w:type="dxa"/>
          </w:tblCellMar>
        </w:tblPrEx>
        <w:trPr>
          <w:gridAfter w:val="2"/>
          <w:wAfter w:w="1770" w:type="dxa"/>
          <w:trHeight w:val="390" w:hRule="atLeast"/>
        </w:trPr>
        <w:tc>
          <w:tcPr>
            <w:tcW w:w="12966" w:type="dxa"/>
            <w:gridSpan w:val="20"/>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财政拨款收入支出决算总表</w:t>
            </w:r>
          </w:p>
        </w:tc>
      </w:tr>
      <w:tr>
        <w:tblPrEx>
          <w:tblLayout w:type="fixed"/>
          <w:tblCellMar>
            <w:top w:w="0" w:type="dxa"/>
            <w:left w:w="0" w:type="dxa"/>
            <w:bottom w:w="0" w:type="dxa"/>
            <w:right w:w="0" w:type="dxa"/>
          </w:tblCellMar>
        </w:tblPrEx>
        <w:trPr>
          <w:gridAfter w:val="2"/>
          <w:wAfter w:w="1770" w:type="dxa"/>
          <w:trHeight w:val="255" w:hRule="atLeast"/>
        </w:trPr>
        <w:tc>
          <w:tcPr>
            <w:tcW w:w="1569"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6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76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421"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77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5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53"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21" w:type="dxa"/>
            <w:gridSpan w:val="2"/>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公开04表</w:t>
            </w:r>
          </w:p>
        </w:tc>
      </w:tr>
      <w:tr>
        <w:tblPrEx>
          <w:tblLayout w:type="fixed"/>
          <w:tblCellMar>
            <w:top w:w="0" w:type="dxa"/>
            <w:left w:w="0" w:type="dxa"/>
            <w:bottom w:w="0" w:type="dxa"/>
            <w:right w:w="0" w:type="dxa"/>
          </w:tblCellMar>
        </w:tblPrEx>
        <w:trPr>
          <w:gridAfter w:val="2"/>
          <w:wAfter w:w="1770" w:type="dxa"/>
          <w:trHeight w:val="255" w:hRule="atLeast"/>
        </w:trPr>
        <w:tc>
          <w:tcPr>
            <w:tcW w:w="12966" w:type="dxa"/>
            <w:gridSpan w:val="20"/>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gridAfter w:val="2"/>
          <w:wAfter w:w="1770" w:type="dxa"/>
          <w:trHeight w:val="308" w:hRule="atLeast"/>
        </w:trPr>
        <w:tc>
          <w:tcPr>
            <w:tcW w:w="4942"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     入</w:t>
            </w:r>
          </w:p>
        </w:tc>
        <w:tc>
          <w:tcPr>
            <w:tcW w:w="8024" w:type="dxa"/>
            <w:gridSpan w:val="14"/>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     出</w:t>
            </w:r>
          </w:p>
        </w:tc>
      </w:tr>
      <w:tr>
        <w:tblPrEx>
          <w:tblLayout w:type="fixed"/>
          <w:tblCellMar>
            <w:top w:w="0" w:type="dxa"/>
            <w:left w:w="0" w:type="dxa"/>
            <w:bottom w:w="0" w:type="dxa"/>
            <w:right w:w="0" w:type="dxa"/>
          </w:tblCellMar>
        </w:tblPrEx>
        <w:trPr>
          <w:gridAfter w:val="2"/>
          <w:wAfter w:w="1770" w:type="dxa"/>
          <w:trHeight w:val="312" w:hRule="atLeast"/>
        </w:trPr>
        <w:tc>
          <w:tcPr>
            <w:tcW w:w="156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16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763"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3421" w:type="dxa"/>
            <w:gridSpan w:val="3"/>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775"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54"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453" w:type="dxa"/>
            <w:gridSpan w:val="5"/>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一般公共预算财政拨款</w:t>
            </w:r>
          </w:p>
        </w:tc>
        <w:tc>
          <w:tcPr>
            <w:tcW w:w="921"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政府性基金预算财政拨款</w:t>
            </w:r>
          </w:p>
        </w:tc>
      </w:tr>
      <w:tr>
        <w:tblPrEx>
          <w:tblLayout w:type="fixed"/>
          <w:tblCellMar>
            <w:top w:w="0" w:type="dxa"/>
            <w:left w:w="0" w:type="dxa"/>
            <w:bottom w:w="0" w:type="dxa"/>
            <w:right w:w="0" w:type="dxa"/>
          </w:tblCellMar>
        </w:tblPrEx>
        <w:trPr>
          <w:gridAfter w:val="2"/>
          <w:wAfter w:w="1770" w:type="dxa"/>
          <w:trHeight w:val="615" w:hRule="atLeast"/>
        </w:trPr>
        <w:tc>
          <w:tcPr>
            <w:tcW w:w="15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6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763"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421"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775"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54"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53" w:type="dxa"/>
            <w:gridSpan w:val="5"/>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21"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763"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54"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453"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21"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一、一般公共预算财政拨款</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一、一般公共服务支出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28</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二、政府性基金预算财政拨款</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二、外交支出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29</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三、国防支出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30</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四、公共安全支出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31</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五、教育支出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32</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六、科学技术支出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33</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七、文化体育与传媒支出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34</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八、社会保障和就业支出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35</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九、医疗卫生与计划生育支出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36</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十、节能环保支出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37</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十一、城乡社区支出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38</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十二、农林水支出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39</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13</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十三、交通运输支出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40</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14</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十四、资源勘探信息等支出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41</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15</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十五、商业服务业等支出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42</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16</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十六、金融支出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43</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17</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十七、援助其他地区支出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44</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18</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十八、国土海洋气象等支出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45</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19</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十九、住房保障支出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46</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20</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二十、粮油物资储备支出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47</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21</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二十一、其他支出</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48</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本年收入合计</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22</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本年支出合计</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49</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年初财政拨款结转和结余</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23</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年末财政拨款结转和结余</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50</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一般公共预算财政拨款</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24</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51</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政府性基金预算财政拨款</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25</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52</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26</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53</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2"/>
          <w:wAfter w:w="1770"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16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27</w:t>
            </w:r>
          </w:p>
        </w:tc>
        <w:tc>
          <w:tcPr>
            <w:tcW w:w="176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3421"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b/>
                <w:color w:val="000000"/>
                <w:sz w:val="22"/>
                <w:szCs w:val="22"/>
              </w:rPr>
            </w:pPr>
            <w:r>
              <w:rPr>
                <w:rFonts w:hint="eastAsia" w:ascii="宋体" w:hAnsi="宋体" w:cs="宋体"/>
                <w:b/>
                <w:color w:val="000000"/>
                <w:kern w:val="0"/>
                <w:sz w:val="22"/>
                <w:szCs w:val="22"/>
                <w:lang w:bidi="ar"/>
              </w:rPr>
              <w:t>总计</w:t>
            </w:r>
          </w:p>
        </w:tc>
        <w:tc>
          <w:tcPr>
            <w:tcW w:w="775"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54</w:t>
            </w:r>
          </w:p>
        </w:tc>
        <w:tc>
          <w:tcPr>
            <w:tcW w:w="145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145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24,875,935.00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2"/>
          <w:wAfter w:w="1770" w:type="dxa"/>
          <w:trHeight w:val="664" w:hRule="atLeast"/>
        </w:trPr>
        <w:tc>
          <w:tcPr>
            <w:tcW w:w="12966" w:type="dxa"/>
            <w:gridSpan w:val="20"/>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注：本表反映部门本年度一般公共预算财政拨款和政府性基金预算财政拨款的总收支和年末结转结余情况。本表金额转换为万元时，因四舍五入可能存在尾差。</w:t>
            </w:r>
          </w:p>
        </w:tc>
      </w:tr>
      <w:tr>
        <w:tblPrEx>
          <w:tblLayout w:type="fixed"/>
          <w:tblCellMar>
            <w:top w:w="0" w:type="dxa"/>
            <w:left w:w="0" w:type="dxa"/>
            <w:bottom w:w="0" w:type="dxa"/>
            <w:right w:w="0" w:type="dxa"/>
          </w:tblCellMar>
        </w:tblPrEx>
        <w:trPr>
          <w:gridAfter w:val="7"/>
          <w:wAfter w:w="3681" w:type="dxa"/>
          <w:trHeight w:val="390" w:hRule="atLeast"/>
        </w:trPr>
        <w:tc>
          <w:tcPr>
            <w:tcW w:w="11055" w:type="dxa"/>
            <w:gridSpan w:val="15"/>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一般公共预算财政拨款支出决算表</w:t>
            </w:r>
          </w:p>
        </w:tc>
      </w:tr>
      <w:tr>
        <w:tblPrEx>
          <w:tblLayout w:type="fixed"/>
          <w:tblCellMar>
            <w:top w:w="0" w:type="dxa"/>
            <w:left w:w="0" w:type="dxa"/>
            <w:bottom w:w="0" w:type="dxa"/>
            <w:right w:w="0" w:type="dxa"/>
          </w:tblCellMar>
        </w:tblPrEx>
        <w:trPr>
          <w:gridAfter w:val="7"/>
          <w:wAfter w:w="3681" w:type="dxa"/>
          <w:trHeight w:val="255" w:hRule="atLeast"/>
        </w:trPr>
        <w:tc>
          <w:tcPr>
            <w:tcW w:w="14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3373"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44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207" w:type="dxa"/>
            <w:gridSpan w:val="5"/>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公开05表</w:t>
            </w:r>
          </w:p>
        </w:tc>
      </w:tr>
      <w:tr>
        <w:tblPrEx>
          <w:tblLayout w:type="fixed"/>
          <w:tblCellMar>
            <w:top w:w="0" w:type="dxa"/>
            <w:left w:w="0" w:type="dxa"/>
            <w:bottom w:w="0" w:type="dxa"/>
            <w:right w:w="0" w:type="dxa"/>
          </w:tblCellMar>
        </w:tblPrEx>
        <w:trPr>
          <w:gridAfter w:val="7"/>
          <w:wAfter w:w="3681" w:type="dxa"/>
          <w:trHeight w:val="255" w:hRule="atLeast"/>
        </w:trPr>
        <w:tc>
          <w:tcPr>
            <w:tcW w:w="11055" w:type="dxa"/>
            <w:gridSpan w:val="15"/>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gridAfter w:val="7"/>
          <w:wAfter w:w="3681" w:type="dxa"/>
          <w:trHeight w:val="308" w:hRule="atLeast"/>
        </w:trPr>
        <w:tc>
          <w:tcPr>
            <w:tcW w:w="4942"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6113" w:type="dxa"/>
            <w:gridSpan w:val="9"/>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Layout w:type="fixed"/>
          <w:tblCellMar>
            <w:top w:w="0" w:type="dxa"/>
            <w:left w:w="0" w:type="dxa"/>
            <w:bottom w:w="0" w:type="dxa"/>
            <w:right w:w="0" w:type="dxa"/>
          </w:tblCellMar>
        </w:tblPrEx>
        <w:trPr>
          <w:gridAfter w:val="7"/>
          <w:wAfter w:w="3681" w:type="dxa"/>
          <w:trHeight w:val="312" w:hRule="atLeast"/>
        </w:trPr>
        <w:tc>
          <w:tcPr>
            <w:tcW w:w="156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3373" w:type="dxa"/>
            <w:gridSpan w:val="3"/>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2440"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466"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2207" w:type="dxa"/>
            <w:gridSpan w:val="5"/>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Layout w:type="fixed"/>
          <w:tblCellMar>
            <w:top w:w="0" w:type="dxa"/>
            <w:left w:w="0" w:type="dxa"/>
            <w:bottom w:w="0" w:type="dxa"/>
            <w:right w:w="0" w:type="dxa"/>
          </w:tblCellMar>
        </w:tblPrEx>
        <w:trPr>
          <w:gridAfter w:val="7"/>
          <w:wAfter w:w="3681" w:type="dxa"/>
          <w:trHeight w:val="312" w:hRule="atLeast"/>
        </w:trPr>
        <w:tc>
          <w:tcPr>
            <w:tcW w:w="15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373"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440"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6"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207" w:type="dxa"/>
            <w:gridSpan w:val="5"/>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7"/>
          <w:wAfter w:w="3681" w:type="dxa"/>
          <w:trHeight w:val="312" w:hRule="atLeast"/>
        </w:trPr>
        <w:tc>
          <w:tcPr>
            <w:tcW w:w="156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3373"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440"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6"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207" w:type="dxa"/>
            <w:gridSpan w:val="5"/>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gridAfter w:val="7"/>
          <w:wAfter w:w="3681" w:type="dxa"/>
          <w:trHeight w:val="308" w:hRule="atLeast"/>
        </w:trPr>
        <w:tc>
          <w:tcPr>
            <w:tcW w:w="4942" w:type="dxa"/>
            <w:gridSpan w:val="6"/>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2440"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466"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2207"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Layout w:type="fixed"/>
          <w:tblCellMar>
            <w:top w:w="0" w:type="dxa"/>
            <w:left w:w="0" w:type="dxa"/>
            <w:bottom w:w="0" w:type="dxa"/>
            <w:right w:w="0" w:type="dxa"/>
          </w:tblCellMar>
        </w:tblPrEx>
        <w:trPr>
          <w:gridAfter w:val="7"/>
          <w:wAfter w:w="3681" w:type="dxa"/>
          <w:trHeight w:val="308" w:hRule="atLeast"/>
        </w:trPr>
        <w:tc>
          <w:tcPr>
            <w:tcW w:w="4942" w:type="dxa"/>
            <w:gridSpan w:val="6"/>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24,875,935.00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19,705,935.00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b/>
                <w:color w:val="000000"/>
                <w:sz w:val="22"/>
                <w:szCs w:val="22"/>
              </w:rPr>
            </w:pPr>
            <w:r>
              <w:rPr>
                <w:rFonts w:hint="eastAsia" w:ascii="宋体" w:hAnsi="宋体" w:cs="宋体"/>
                <w:color w:val="000000"/>
                <w:kern w:val="0"/>
                <w:sz w:val="22"/>
                <w:szCs w:val="22"/>
                <w:lang w:bidi="ar"/>
              </w:rPr>
              <w:t>5,170,000.00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公共安全支出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5,170,000.00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检察</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22,069,200.00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5,170,000.00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行政运行</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16,899,200.0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2040402</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一般行政管理事务</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920,000.00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2040499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其他检察支出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4,250,000.00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社会保障和就业支出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1,596,735.00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行政事业单位离退休</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2080505</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机关事业单位基本养老保险缴费支出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抚恤</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2080801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 xml:space="preserve">  死亡抚恤</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r>
              <w:rPr>
                <w:rFonts w:hint="eastAsia" w:ascii="宋体" w:hAnsi="宋体" w:cs="宋体"/>
                <w:color w:val="000000"/>
                <w:kern w:val="0"/>
                <w:sz w:val="22"/>
                <w:szCs w:val="22"/>
                <w:lang w:bidi="ar"/>
              </w:rPr>
              <w:t>249,000.00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kern w:val="0"/>
                <w:sz w:val="22"/>
                <w:szCs w:val="22"/>
                <w:lang w:bidi="ar"/>
              </w:rPr>
            </w:pP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其他社会保障和就业支出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2089901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其他社会保障和就业支出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医疗卫生与计划生育支出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行政事业单位医疗</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行政单位医疗</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502,700.00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2101199</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其他行政事业单位医疗支出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12,100.00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住房保障支出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住房改革支出</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56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2210201</w:t>
            </w:r>
          </w:p>
        </w:tc>
        <w:tc>
          <w:tcPr>
            <w:tcW w:w="337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住房公积金</w:t>
            </w:r>
          </w:p>
        </w:tc>
        <w:tc>
          <w:tcPr>
            <w:tcW w:w="244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220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gridAfter w:val="7"/>
          <w:wAfter w:w="3681" w:type="dxa"/>
          <w:trHeight w:val="308" w:hRule="atLeast"/>
        </w:trPr>
        <w:tc>
          <w:tcPr>
            <w:tcW w:w="11055" w:type="dxa"/>
            <w:gridSpan w:val="15"/>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注：本表反映部门本年度一般公共预算财政拨款支出情况。本表金额转换为万元时，因四舍五入可能存在尾差。</w:t>
            </w:r>
          </w:p>
        </w:tc>
      </w:tr>
      <w:tr>
        <w:tblPrEx>
          <w:tblLayout w:type="fixed"/>
          <w:tblCellMar>
            <w:top w:w="0" w:type="dxa"/>
            <w:left w:w="0" w:type="dxa"/>
            <w:bottom w:w="0" w:type="dxa"/>
            <w:right w:w="0" w:type="dxa"/>
          </w:tblCellMar>
        </w:tblPrEx>
        <w:trPr>
          <w:trHeight w:val="390" w:hRule="atLeast"/>
        </w:trPr>
        <w:tc>
          <w:tcPr>
            <w:tcW w:w="14736" w:type="dxa"/>
            <w:gridSpan w:val="22"/>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一般公共预算财政拨款基本支出决算表</w:t>
            </w:r>
          </w:p>
        </w:tc>
      </w:tr>
      <w:tr>
        <w:tblPrEx>
          <w:tblLayout w:type="fixed"/>
          <w:tblCellMar>
            <w:top w:w="0" w:type="dxa"/>
            <w:left w:w="0" w:type="dxa"/>
            <w:bottom w:w="0" w:type="dxa"/>
            <w:right w:w="0" w:type="dxa"/>
          </w:tblCellMar>
        </w:tblPrEx>
        <w:trPr>
          <w:trHeight w:val="285" w:hRule="atLeast"/>
        </w:trPr>
        <w:tc>
          <w:tcPr>
            <w:tcW w:w="151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97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46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73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60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7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068"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345"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4"/>
                <w:szCs w:val="24"/>
              </w:rPr>
            </w:pPr>
            <w:r>
              <w:rPr>
                <w:rFonts w:hint="eastAsia" w:ascii="宋体" w:hAnsi="宋体" w:cs="宋体"/>
                <w:color w:val="000000"/>
                <w:kern w:val="0"/>
                <w:sz w:val="24"/>
                <w:szCs w:val="24"/>
                <w:lang w:bidi="ar"/>
              </w:rPr>
              <w:t>公开06表</w:t>
            </w:r>
          </w:p>
        </w:tc>
      </w:tr>
      <w:tr>
        <w:tblPrEx>
          <w:tblLayout w:type="fixed"/>
          <w:tblCellMar>
            <w:top w:w="0" w:type="dxa"/>
            <w:left w:w="0" w:type="dxa"/>
            <w:bottom w:w="0" w:type="dxa"/>
            <w:right w:w="0" w:type="dxa"/>
          </w:tblCellMar>
        </w:tblPrEx>
        <w:trPr>
          <w:trHeight w:val="255" w:hRule="atLeast"/>
        </w:trPr>
        <w:tc>
          <w:tcPr>
            <w:tcW w:w="14736" w:type="dxa"/>
            <w:gridSpan w:val="22"/>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p>
            <w:pPr>
              <w:jc w:val="right"/>
              <w:textAlignment w:val="bottom"/>
              <w:rPr>
                <w:rFonts w:ascii="宋体" w:hAnsi="宋体" w:cs="宋体"/>
                <w:color w:val="000000"/>
                <w:sz w:val="18"/>
                <w:szCs w:val="18"/>
              </w:rPr>
            </w:pPr>
            <w:r>
              <w:rPr>
                <w:rFonts w:hint="eastAsia" w:ascii="宋体" w:hAnsi="宋体" w:cs="宋体"/>
                <w:color w:val="000000"/>
                <w:kern w:val="0"/>
                <w:sz w:val="18"/>
                <w:szCs w:val="18"/>
                <w:lang w:bidi="ar"/>
              </w:rPr>
              <w:t>金额单位：元</w:t>
            </w:r>
          </w:p>
        </w:tc>
      </w:tr>
      <w:tr>
        <w:tblPrEx>
          <w:tblLayout w:type="fixed"/>
          <w:tblCellMar>
            <w:top w:w="0" w:type="dxa"/>
            <w:left w:w="0" w:type="dxa"/>
            <w:bottom w:w="0" w:type="dxa"/>
            <w:right w:w="0" w:type="dxa"/>
          </w:tblCellMar>
        </w:tblPrEx>
        <w:trPr>
          <w:trHeight w:val="308" w:hRule="atLeast"/>
        </w:trPr>
        <w:tc>
          <w:tcPr>
            <w:tcW w:w="4942"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人员经费</w:t>
            </w:r>
          </w:p>
        </w:tc>
        <w:tc>
          <w:tcPr>
            <w:tcW w:w="9794" w:type="dxa"/>
            <w:gridSpan w:val="1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公用经费</w:t>
            </w:r>
          </w:p>
        </w:tc>
      </w:tr>
      <w:tr>
        <w:tblPrEx>
          <w:tblLayout w:type="fixed"/>
          <w:tblCellMar>
            <w:top w:w="0" w:type="dxa"/>
            <w:left w:w="0" w:type="dxa"/>
            <w:bottom w:w="0" w:type="dxa"/>
            <w:right w:w="0" w:type="dxa"/>
          </w:tblCellMar>
        </w:tblPrEx>
        <w:trPr>
          <w:trHeight w:val="312" w:hRule="atLeast"/>
        </w:trPr>
        <w:tc>
          <w:tcPr>
            <w:tcW w:w="1518" w:type="dxa"/>
            <w:gridSpan w:val="2"/>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科目编码</w:t>
            </w:r>
          </w:p>
        </w:tc>
        <w:tc>
          <w:tcPr>
            <w:tcW w:w="1970" w:type="dxa"/>
            <w:gridSpan w:val="3"/>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454"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决算数</w:t>
            </w:r>
          </w:p>
        </w:tc>
        <w:tc>
          <w:tcPr>
            <w:tcW w:w="1466"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科目编码</w:t>
            </w:r>
          </w:p>
        </w:tc>
        <w:tc>
          <w:tcPr>
            <w:tcW w:w="2730" w:type="dxa"/>
            <w:gridSpan w:val="4"/>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608" w:type="dxa"/>
            <w:gridSpan w:val="3"/>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决算数</w:t>
            </w:r>
          </w:p>
        </w:tc>
        <w:tc>
          <w:tcPr>
            <w:tcW w:w="577" w:type="dxa"/>
            <w:gridSpan w:val="2"/>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科目编码</w:t>
            </w:r>
          </w:p>
        </w:tc>
        <w:tc>
          <w:tcPr>
            <w:tcW w:w="2068" w:type="dxa"/>
            <w:gridSpan w:val="5"/>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34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决算数</w:t>
            </w:r>
          </w:p>
        </w:tc>
      </w:tr>
      <w:tr>
        <w:tblPrEx>
          <w:tblLayout w:type="fixed"/>
          <w:tblCellMar>
            <w:top w:w="0" w:type="dxa"/>
            <w:left w:w="0" w:type="dxa"/>
            <w:bottom w:w="0" w:type="dxa"/>
            <w:right w:w="0" w:type="dxa"/>
          </w:tblCellMar>
        </w:tblPrEx>
        <w:trPr>
          <w:trHeight w:val="312" w:hRule="atLeast"/>
        </w:trPr>
        <w:tc>
          <w:tcPr>
            <w:tcW w:w="1518" w:type="dxa"/>
            <w:gridSpan w:val="2"/>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970"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54"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466"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730" w:type="dxa"/>
            <w:gridSpan w:val="4"/>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608" w:type="dxa"/>
            <w:gridSpan w:val="3"/>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77" w:type="dxa"/>
            <w:gridSpan w:val="2"/>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068" w:type="dxa"/>
            <w:gridSpan w:val="5"/>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34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工资福利支出</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15,251,335.00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商品和服务支出</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4,173,900.00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307</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债务利息及费用支出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30101</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基本工资</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6,951,700.00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30201</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办公费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982,104.00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30701</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国内债务付息</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30102</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津贴补贴</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4,008,900.00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30202</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印刷费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50,000.00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30702</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国外债务付息</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30103</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奖金</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579,400.00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30203</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咨询费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375,000.00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资本性支出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30106</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伙食补助费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30204</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手续费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31001</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房屋建筑物购建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30107</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绩效工资</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30205</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水费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13,500.00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31002</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办公设备购置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30108</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机关事业单位基本养老保险缴费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1,285,035.00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30206</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电费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307,160.00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31003</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专用设备购置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30109</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职业年金缴费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30207</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邮电费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31005</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基础设施建设</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30110</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职工基本医疗保险缴费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514,800.00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30208</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取暖费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31006</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大型修缮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30111</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公务员医疗补助缴费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30209</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物业管理费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230,000.00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31007</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信息网络及软件购置更新</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30112</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其他社会保障缴费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62,700.00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30211</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差旅费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362,400.00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31008</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物资储备</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30113</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住房公积金</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695,200.00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30212</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因公出国（境）费用</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31009</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土地补偿</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30114</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医疗费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30213</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维修（护）费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563,500.00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31010</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安置补助</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30199</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其他工资福利支出</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1,153,600.00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30214</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租赁费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31011</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地上附着物和青苗补偿</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对个人和家庭的补助</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280,700.00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30215</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会议费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31012</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拆迁补偿</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30301</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离休费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30216</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培训费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335,000.00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31013</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公务用车购置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30302</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退休费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30217</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公务接待费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13,500.00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31019</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其他交通工具购置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30303</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退职（役）费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30218</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专用材料费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31021</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文物和陈列品购置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30304</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抚恤金</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249,000.00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30224</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被装购置费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31022</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无形资产购置</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30305</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生活补助</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31,700.00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30225</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专用燃料费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31099</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其他资本性支出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30306</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救济费</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30226</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劳务费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17,000.00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399</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其他支出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30307</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医疗费补助</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30227</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委托业务费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39906</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赠与</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30308</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助学金</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30228</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工会经费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83,500.00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39907</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国家赔偿费用支出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30309</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奖励金</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30229</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福利费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173,800.00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39908</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对民间非营利组织和群众性自治组织补贴</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30310</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个人农业生产补贴</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30231</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公务用车运行维护费</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335,000.00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39999</w:t>
            </w: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其他支出</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30399</w:t>
            </w: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其他对个人和家庭的补助支出</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30239</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其他交通费用</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86,050.00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30240</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税金及附加费用</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1518" w:type="dxa"/>
            <w:gridSpan w:val="2"/>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970"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1466"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30299</w:t>
            </w:r>
          </w:p>
        </w:tc>
        <w:tc>
          <w:tcPr>
            <w:tcW w:w="2730" w:type="dxa"/>
            <w:gridSpan w:val="4"/>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 xml:space="preserve">  其他商品和服务支出</w:t>
            </w:r>
          </w:p>
        </w:tc>
        <w:tc>
          <w:tcPr>
            <w:tcW w:w="1608"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231,386.00</w:t>
            </w:r>
          </w:p>
        </w:tc>
        <w:tc>
          <w:tcPr>
            <w:tcW w:w="577" w:type="dxa"/>
            <w:gridSpan w:val="2"/>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2068" w:type="dxa"/>
            <w:gridSpan w:val="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left"/>
              <w:rPr>
                <w:rFonts w:ascii="宋体" w:hAnsi="宋体" w:cs="宋体"/>
                <w:color w:val="000000"/>
                <w:sz w:val="22"/>
                <w:szCs w:val="22"/>
              </w:rPr>
            </w:pP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3488" w:type="dxa"/>
            <w:gridSpan w:val="5"/>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人员经费合计</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15,532,035.00</w:t>
            </w:r>
          </w:p>
        </w:tc>
        <w:tc>
          <w:tcPr>
            <w:tcW w:w="8449" w:type="dxa"/>
            <w:gridSpan w:val="15"/>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公用经费合计</w:t>
            </w:r>
          </w:p>
        </w:tc>
        <w:tc>
          <w:tcPr>
            <w:tcW w:w="13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4,173,900.00</w:t>
            </w:r>
          </w:p>
        </w:tc>
      </w:tr>
      <w:tr>
        <w:tblPrEx>
          <w:tblLayout w:type="fixed"/>
          <w:tblCellMar>
            <w:top w:w="0" w:type="dxa"/>
            <w:left w:w="0" w:type="dxa"/>
            <w:bottom w:w="0" w:type="dxa"/>
            <w:right w:w="0" w:type="dxa"/>
          </w:tblCellMar>
        </w:tblPrEx>
        <w:trPr>
          <w:trHeight w:val="308" w:hRule="atLeast"/>
        </w:trPr>
        <w:tc>
          <w:tcPr>
            <w:tcW w:w="14736" w:type="dxa"/>
            <w:gridSpan w:val="22"/>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注：本表反映部门本年度一般公共预算财政拨款基本支出明细情况。本表金额转换为万元时，因四舍五入可能存在尾差。</w:t>
            </w:r>
          </w:p>
        </w:tc>
      </w:tr>
    </w:tbl>
    <w:p>
      <w:pPr>
        <w:jc w:val="center"/>
        <w:rPr>
          <w:rFonts w:ascii="隶书" w:hAnsi="隶书" w:eastAsia="隶书" w:cs="隶书"/>
          <w:sz w:val="48"/>
          <w:szCs w:val="48"/>
        </w:rPr>
      </w:pPr>
    </w:p>
    <w:p>
      <w:pPr>
        <w:jc w:val="center"/>
        <w:rPr>
          <w:rFonts w:ascii="隶书" w:hAnsi="隶书" w:eastAsia="隶书" w:cs="隶书"/>
          <w:sz w:val="48"/>
          <w:szCs w:val="48"/>
        </w:rPr>
      </w:pPr>
    </w:p>
    <w:p>
      <w:pPr>
        <w:rPr>
          <w:rFonts w:ascii="隶书" w:hAnsi="隶书" w:eastAsia="隶书" w:cs="隶书"/>
          <w:sz w:val="48"/>
          <w:szCs w:val="48"/>
        </w:rPr>
      </w:pPr>
    </w:p>
    <w:p>
      <w:pPr>
        <w:jc w:val="center"/>
        <w:rPr>
          <w:rFonts w:ascii="隶书" w:hAnsi="隶书" w:eastAsia="隶书" w:cs="隶书"/>
          <w:sz w:val="48"/>
          <w:szCs w:val="48"/>
        </w:rPr>
      </w:pPr>
    </w:p>
    <w:tbl>
      <w:tblPr>
        <w:tblStyle w:val="6"/>
        <w:tblW w:w="14736" w:type="dxa"/>
        <w:tblInd w:w="0" w:type="dxa"/>
        <w:tblLayout w:type="fixed"/>
        <w:tblCellMar>
          <w:top w:w="0" w:type="dxa"/>
          <w:left w:w="0" w:type="dxa"/>
          <w:bottom w:w="0" w:type="dxa"/>
          <w:right w:w="0" w:type="dxa"/>
        </w:tblCellMar>
      </w:tblPr>
      <w:tblGrid>
        <w:gridCol w:w="3499"/>
        <w:gridCol w:w="849"/>
        <w:gridCol w:w="1153"/>
        <w:gridCol w:w="625"/>
        <w:gridCol w:w="1211"/>
        <w:gridCol w:w="1153"/>
        <w:gridCol w:w="1153"/>
        <w:gridCol w:w="849"/>
        <w:gridCol w:w="1153"/>
        <w:gridCol w:w="625"/>
        <w:gridCol w:w="1211"/>
        <w:gridCol w:w="1255"/>
      </w:tblGrid>
      <w:tr>
        <w:tblPrEx>
          <w:tblLayout w:type="fixed"/>
          <w:tblCellMar>
            <w:top w:w="0" w:type="dxa"/>
            <w:left w:w="0" w:type="dxa"/>
            <w:bottom w:w="0" w:type="dxa"/>
            <w:right w:w="0" w:type="dxa"/>
          </w:tblCellMar>
        </w:tblPrEx>
        <w:trPr>
          <w:trHeight w:val="540" w:hRule="atLeast"/>
        </w:trPr>
        <w:tc>
          <w:tcPr>
            <w:tcW w:w="12270" w:type="dxa"/>
            <w:gridSpan w:val="10"/>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44"/>
                <w:szCs w:val="44"/>
                <w:lang w:bidi="ar"/>
              </w:rPr>
              <w:t>一般公共预算财政拨款“三公”经费支出决算表</w:t>
            </w:r>
          </w:p>
        </w:tc>
        <w:tc>
          <w:tcPr>
            <w:tcW w:w="12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r>
      <w:tr>
        <w:tblPrEx>
          <w:tblLayout w:type="fixed"/>
          <w:tblCellMar>
            <w:top w:w="0" w:type="dxa"/>
            <w:left w:w="0" w:type="dxa"/>
            <w:bottom w:w="0" w:type="dxa"/>
            <w:right w:w="0" w:type="dxa"/>
          </w:tblCellMar>
        </w:tblPrEx>
        <w:trPr>
          <w:trHeight w:val="255" w:hRule="atLeast"/>
        </w:trPr>
        <w:tc>
          <w:tcPr>
            <w:tcW w:w="34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8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8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55"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公开07表</w:t>
            </w:r>
          </w:p>
        </w:tc>
      </w:tr>
      <w:tr>
        <w:tblPrEx>
          <w:tblLayout w:type="fixed"/>
          <w:tblCellMar>
            <w:top w:w="0" w:type="dxa"/>
            <w:left w:w="0" w:type="dxa"/>
            <w:bottom w:w="0" w:type="dxa"/>
            <w:right w:w="0" w:type="dxa"/>
          </w:tblCellMar>
        </w:tblPrEx>
        <w:trPr>
          <w:trHeight w:val="255" w:hRule="atLeast"/>
        </w:trPr>
        <w:tc>
          <w:tcPr>
            <w:tcW w:w="3499" w:type="dxa"/>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tc>
        <w:tc>
          <w:tcPr>
            <w:tcW w:w="8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8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1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6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255"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trHeight w:val="308" w:hRule="atLeast"/>
        </w:trPr>
        <w:tc>
          <w:tcPr>
            <w:tcW w:w="8490" w:type="dxa"/>
            <w:gridSpan w:val="6"/>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预算数</w:t>
            </w:r>
          </w:p>
        </w:tc>
        <w:tc>
          <w:tcPr>
            <w:tcW w:w="6246" w:type="dxa"/>
            <w:gridSpan w:val="6"/>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决算数</w:t>
            </w:r>
          </w:p>
        </w:tc>
      </w:tr>
      <w:tr>
        <w:tblPrEx>
          <w:tblLayout w:type="fixed"/>
          <w:tblCellMar>
            <w:top w:w="0" w:type="dxa"/>
            <w:left w:w="0" w:type="dxa"/>
            <w:bottom w:w="0" w:type="dxa"/>
            <w:right w:w="0" w:type="dxa"/>
          </w:tblCellMar>
        </w:tblPrEx>
        <w:trPr>
          <w:trHeight w:val="308" w:hRule="atLeast"/>
        </w:trPr>
        <w:tc>
          <w:tcPr>
            <w:tcW w:w="3499" w:type="dxa"/>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4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因公出国（境）费</w:t>
            </w:r>
          </w:p>
        </w:tc>
        <w:tc>
          <w:tcPr>
            <w:tcW w:w="298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公务用车购置及运行费</w:t>
            </w:r>
          </w:p>
        </w:tc>
        <w:tc>
          <w:tcPr>
            <w:tcW w:w="11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公务接待费</w:t>
            </w:r>
          </w:p>
        </w:tc>
        <w:tc>
          <w:tcPr>
            <w:tcW w:w="115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849"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因公出国（境）费</w:t>
            </w:r>
          </w:p>
        </w:tc>
        <w:tc>
          <w:tcPr>
            <w:tcW w:w="2989" w:type="dxa"/>
            <w:gridSpan w:val="3"/>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公务用车购置及运行费</w:t>
            </w:r>
          </w:p>
        </w:tc>
        <w:tc>
          <w:tcPr>
            <w:tcW w:w="1255"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公务接待费</w:t>
            </w:r>
          </w:p>
        </w:tc>
      </w:tr>
      <w:tr>
        <w:tblPrEx>
          <w:tblLayout w:type="fixed"/>
          <w:tblCellMar>
            <w:top w:w="0" w:type="dxa"/>
            <w:left w:w="0" w:type="dxa"/>
            <w:bottom w:w="0" w:type="dxa"/>
            <w:right w:w="0" w:type="dxa"/>
          </w:tblCellMar>
        </w:tblPrEx>
        <w:trPr>
          <w:trHeight w:val="615" w:hRule="atLeast"/>
        </w:trPr>
        <w:tc>
          <w:tcPr>
            <w:tcW w:w="3499" w:type="dxa"/>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84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6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公务用车购置费</w:t>
            </w:r>
          </w:p>
        </w:tc>
        <w:tc>
          <w:tcPr>
            <w:tcW w:w="12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公务用车运行费</w:t>
            </w:r>
          </w:p>
        </w:tc>
        <w:tc>
          <w:tcPr>
            <w:tcW w:w="11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15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849"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6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公务用车购置费</w:t>
            </w:r>
          </w:p>
        </w:tc>
        <w:tc>
          <w:tcPr>
            <w:tcW w:w="12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公务用车运行费</w:t>
            </w:r>
          </w:p>
        </w:tc>
        <w:tc>
          <w:tcPr>
            <w:tcW w:w="1255"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3499" w:type="dxa"/>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8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6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12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7</w:t>
            </w:r>
          </w:p>
        </w:tc>
        <w:tc>
          <w:tcPr>
            <w:tcW w:w="849"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8</w:t>
            </w:r>
          </w:p>
        </w:tc>
        <w:tc>
          <w:tcPr>
            <w:tcW w:w="115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9</w:t>
            </w:r>
          </w:p>
        </w:tc>
        <w:tc>
          <w:tcPr>
            <w:tcW w:w="62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10</w:t>
            </w:r>
          </w:p>
        </w:tc>
        <w:tc>
          <w:tcPr>
            <w:tcW w:w="1211"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11</w:t>
            </w:r>
          </w:p>
        </w:tc>
        <w:tc>
          <w:tcPr>
            <w:tcW w:w="1255"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12</w:t>
            </w:r>
          </w:p>
        </w:tc>
      </w:tr>
      <w:tr>
        <w:tblPrEx>
          <w:tblLayout w:type="fixed"/>
          <w:tblCellMar>
            <w:top w:w="0" w:type="dxa"/>
            <w:left w:w="0" w:type="dxa"/>
            <w:bottom w:w="0" w:type="dxa"/>
            <w:right w:w="0" w:type="dxa"/>
          </w:tblCellMar>
        </w:tblPrEx>
        <w:trPr>
          <w:trHeight w:val="308" w:hRule="atLeast"/>
        </w:trPr>
        <w:tc>
          <w:tcPr>
            <w:tcW w:w="349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580,000.00</w:t>
            </w:r>
          </w:p>
        </w:tc>
        <w:tc>
          <w:tcPr>
            <w:tcW w:w="8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480000.00</w:t>
            </w:r>
          </w:p>
        </w:tc>
        <w:tc>
          <w:tcPr>
            <w:tcW w:w="6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480000</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100,000.00</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348,500.00</w:t>
            </w:r>
          </w:p>
        </w:tc>
        <w:tc>
          <w:tcPr>
            <w:tcW w:w="84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15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335,000.00</w:t>
            </w:r>
          </w:p>
        </w:tc>
        <w:tc>
          <w:tcPr>
            <w:tcW w:w="6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0.00</w:t>
            </w:r>
          </w:p>
        </w:tc>
        <w:tc>
          <w:tcPr>
            <w:tcW w:w="12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335,000.00</w:t>
            </w:r>
          </w:p>
        </w:tc>
        <w:tc>
          <w:tcPr>
            <w:tcW w:w="12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13500.00</w:t>
            </w:r>
          </w:p>
        </w:tc>
      </w:tr>
      <w:tr>
        <w:tblPrEx>
          <w:tblLayout w:type="fixed"/>
          <w:tblCellMar>
            <w:top w:w="0" w:type="dxa"/>
            <w:left w:w="0" w:type="dxa"/>
            <w:bottom w:w="0" w:type="dxa"/>
            <w:right w:w="0" w:type="dxa"/>
          </w:tblCellMar>
        </w:tblPrEx>
        <w:trPr>
          <w:trHeight w:val="615" w:hRule="atLeast"/>
        </w:trPr>
        <w:tc>
          <w:tcPr>
            <w:tcW w:w="14736" w:type="dxa"/>
            <w:gridSpan w:val="12"/>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三公”经费支出预决算情况。其中：预算数为“三公”经费年初预算数，决算数是包括当年一般公共预算财政拨款和以前年度结转资金安排的实际支出。本表金额转换为万元时，因四舍五入可能存在尾差。</w:t>
            </w:r>
          </w:p>
        </w:tc>
      </w:tr>
    </w:tbl>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p>
      <w:pPr>
        <w:jc w:val="center"/>
        <w:rPr>
          <w:rFonts w:ascii="隶书" w:hAnsi="隶书" w:eastAsia="隶书" w:cs="隶书"/>
          <w:sz w:val="48"/>
          <w:szCs w:val="48"/>
        </w:rPr>
      </w:pPr>
    </w:p>
    <w:tbl>
      <w:tblPr>
        <w:tblStyle w:val="6"/>
        <w:tblW w:w="13396" w:type="dxa"/>
        <w:tblInd w:w="0" w:type="dxa"/>
        <w:tblLayout w:type="fixed"/>
        <w:tblCellMar>
          <w:top w:w="0" w:type="dxa"/>
          <w:left w:w="0" w:type="dxa"/>
          <w:bottom w:w="0" w:type="dxa"/>
          <w:right w:w="0" w:type="dxa"/>
        </w:tblCellMar>
      </w:tblPr>
      <w:tblGrid>
        <w:gridCol w:w="5053"/>
        <w:gridCol w:w="53"/>
        <w:gridCol w:w="53"/>
        <w:gridCol w:w="1340"/>
        <w:gridCol w:w="1570"/>
        <w:gridCol w:w="910"/>
        <w:gridCol w:w="533"/>
        <w:gridCol w:w="910"/>
        <w:gridCol w:w="910"/>
        <w:gridCol w:w="2064"/>
      </w:tblGrid>
      <w:tr>
        <w:tblPrEx>
          <w:tblLayout w:type="fixed"/>
          <w:tblCellMar>
            <w:top w:w="0" w:type="dxa"/>
            <w:left w:w="0" w:type="dxa"/>
            <w:bottom w:w="0" w:type="dxa"/>
            <w:right w:w="0" w:type="dxa"/>
          </w:tblCellMar>
        </w:tblPrEx>
        <w:trPr>
          <w:trHeight w:val="390" w:hRule="atLeast"/>
        </w:trPr>
        <w:tc>
          <w:tcPr>
            <w:tcW w:w="13396" w:type="dxa"/>
            <w:gridSpan w:val="10"/>
            <w:tcBorders>
              <w:top w:val="nil"/>
              <w:left w:val="nil"/>
              <w:bottom w:val="nil"/>
              <w:right w:val="nil"/>
            </w:tcBorders>
            <w:shd w:val="clear" w:color="auto" w:fill="auto"/>
            <w:tcMar>
              <w:top w:w="15" w:type="dxa"/>
              <w:left w:w="15" w:type="dxa"/>
              <w:right w:w="15" w:type="dxa"/>
            </w:tcMar>
            <w:vAlign w:val="bottom"/>
          </w:tcPr>
          <w:p>
            <w:pPr>
              <w:jc w:val="center"/>
              <w:rPr>
                <w:rFonts w:ascii="Arial" w:hAnsi="Arial" w:cs="Arial"/>
                <w:color w:val="000000"/>
                <w:sz w:val="20"/>
              </w:rPr>
            </w:pPr>
            <w:r>
              <w:rPr>
                <w:rFonts w:hint="eastAsia" w:ascii="宋体" w:hAnsi="宋体" w:cs="宋体"/>
                <w:color w:val="000000"/>
                <w:kern w:val="0"/>
                <w:sz w:val="30"/>
                <w:szCs w:val="30"/>
                <w:lang w:bidi="ar"/>
              </w:rPr>
              <w:t>政府性基金预算财政拨款收入支出决算表</w:t>
            </w:r>
          </w:p>
        </w:tc>
      </w:tr>
      <w:tr>
        <w:tblPrEx>
          <w:tblLayout w:type="fixed"/>
          <w:tblCellMar>
            <w:top w:w="0" w:type="dxa"/>
            <w:left w:w="0" w:type="dxa"/>
            <w:bottom w:w="0" w:type="dxa"/>
            <w:right w:w="0" w:type="dxa"/>
          </w:tblCellMar>
        </w:tblPrEx>
        <w:trPr>
          <w:trHeight w:val="255" w:hRule="atLeast"/>
        </w:trPr>
        <w:tc>
          <w:tcPr>
            <w:tcW w:w="50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064"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公开08表</w:t>
            </w:r>
          </w:p>
        </w:tc>
      </w:tr>
      <w:tr>
        <w:tblPrEx>
          <w:tblLayout w:type="fixed"/>
          <w:tblCellMar>
            <w:top w:w="0" w:type="dxa"/>
            <w:left w:w="0" w:type="dxa"/>
            <w:bottom w:w="0" w:type="dxa"/>
            <w:right w:w="0" w:type="dxa"/>
          </w:tblCellMar>
        </w:tblPrEx>
        <w:trPr>
          <w:trHeight w:val="255" w:hRule="atLeast"/>
        </w:trPr>
        <w:tc>
          <w:tcPr>
            <w:tcW w:w="5053" w:type="dxa"/>
            <w:tcBorders>
              <w:top w:val="nil"/>
              <w:left w:val="nil"/>
              <w:bottom w:val="nil"/>
              <w:right w:val="nil"/>
            </w:tcBorders>
            <w:shd w:val="clear" w:color="auto" w:fill="auto"/>
            <w:tcMar>
              <w:top w:w="15" w:type="dxa"/>
              <w:left w:w="15" w:type="dxa"/>
              <w:right w:w="15" w:type="dxa"/>
            </w:tcMar>
            <w:vAlign w:val="bottom"/>
          </w:tcPr>
          <w:p>
            <w:pPr>
              <w:jc w:val="left"/>
              <w:textAlignment w:val="bottom"/>
              <w:rPr>
                <w:rFonts w:ascii="宋体" w:hAnsi="宋体" w:cs="宋体"/>
                <w:color w:val="000000"/>
                <w:sz w:val="20"/>
              </w:rPr>
            </w:pPr>
            <w:r>
              <w:rPr>
                <w:rFonts w:hint="eastAsia" w:ascii="宋体" w:hAnsi="宋体" w:cs="宋体"/>
                <w:color w:val="000000"/>
                <w:kern w:val="0"/>
                <w:sz w:val="20"/>
                <w:lang w:bidi="ar"/>
              </w:rPr>
              <w:t>部门：河南省周口市项城市人民检察院</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15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53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9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rPr>
            </w:pPr>
          </w:p>
        </w:tc>
        <w:tc>
          <w:tcPr>
            <w:tcW w:w="2064" w:type="dxa"/>
            <w:tcBorders>
              <w:top w:val="nil"/>
              <w:left w:val="nil"/>
              <w:bottom w:val="nil"/>
              <w:right w:val="nil"/>
            </w:tcBorders>
            <w:shd w:val="clear" w:color="auto" w:fill="auto"/>
            <w:tcMar>
              <w:top w:w="15" w:type="dxa"/>
              <w:left w:w="15" w:type="dxa"/>
              <w:right w:w="15" w:type="dxa"/>
            </w:tcMar>
            <w:vAlign w:val="bottom"/>
          </w:tcPr>
          <w:p>
            <w:pPr>
              <w:jc w:val="right"/>
              <w:textAlignment w:val="bottom"/>
              <w:rPr>
                <w:rFonts w:ascii="宋体" w:hAnsi="宋体" w:cs="宋体"/>
                <w:color w:val="000000"/>
                <w:sz w:val="20"/>
              </w:rPr>
            </w:pPr>
            <w:r>
              <w:rPr>
                <w:rFonts w:hint="eastAsia" w:ascii="宋体" w:hAnsi="宋体" w:cs="宋体"/>
                <w:color w:val="000000"/>
                <w:kern w:val="0"/>
                <w:sz w:val="20"/>
                <w:lang w:bidi="ar"/>
              </w:rPr>
              <w:t>金额单位：元</w:t>
            </w:r>
          </w:p>
        </w:tc>
      </w:tr>
      <w:tr>
        <w:tblPrEx>
          <w:tblLayout w:type="fixed"/>
          <w:tblCellMar>
            <w:top w:w="0" w:type="dxa"/>
            <w:left w:w="0" w:type="dxa"/>
            <w:bottom w:w="0" w:type="dxa"/>
            <w:right w:w="0" w:type="dxa"/>
          </w:tblCellMar>
        </w:tblPrEx>
        <w:trPr>
          <w:trHeight w:val="308" w:hRule="atLeast"/>
        </w:trPr>
        <w:tc>
          <w:tcPr>
            <w:tcW w:w="6499" w:type="dxa"/>
            <w:gridSpan w:val="4"/>
            <w:tcBorders>
              <w:top w:val="single" w:color="000000" w:sz="4" w:space="0"/>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157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年初结转和结余</w:t>
            </w:r>
          </w:p>
        </w:tc>
        <w:tc>
          <w:tcPr>
            <w:tcW w:w="910"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本年收入</w:t>
            </w:r>
          </w:p>
        </w:tc>
        <w:tc>
          <w:tcPr>
            <w:tcW w:w="2353" w:type="dxa"/>
            <w:gridSpan w:val="3"/>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c>
          <w:tcPr>
            <w:tcW w:w="2064" w:type="dxa"/>
            <w:vMerge w:val="restart"/>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年末结转和结余</w:t>
            </w:r>
          </w:p>
        </w:tc>
      </w:tr>
      <w:tr>
        <w:tblPrEx>
          <w:tblLayout w:type="fixed"/>
          <w:tblCellMar>
            <w:top w:w="0" w:type="dxa"/>
            <w:left w:w="0" w:type="dxa"/>
            <w:bottom w:w="0" w:type="dxa"/>
            <w:right w:w="0" w:type="dxa"/>
          </w:tblCellMar>
        </w:tblPrEx>
        <w:trPr>
          <w:trHeight w:val="312" w:hRule="atLeast"/>
        </w:trPr>
        <w:tc>
          <w:tcPr>
            <w:tcW w:w="5159" w:type="dxa"/>
            <w:gridSpan w:val="3"/>
            <w:vMerge w:val="restart"/>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34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5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33"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9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910" w:type="dxa"/>
            <w:vMerge w:val="restart"/>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c>
          <w:tcPr>
            <w:tcW w:w="20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12" w:hRule="atLeast"/>
        </w:trPr>
        <w:tc>
          <w:tcPr>
            <w:tcW w:w="515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3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5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0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12" w:hRule="atLeast"/>
        </w:trPr>
        <w:tc>
          <w:tcPr>
            <w:tcW w:w="5159" w:type="dxa"/>
            <w:gridSpan w:val="3"/>
            <w:vMerge w:val="continue"/>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34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157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533"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910" w:type="dxa"/>
            <w:vMerge w:val="continue"/>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c>
          <w:tcPr>
            <w:tcW w:w="2064" w:type="dxa"/>
            <w:vMerge w:val="continue"/>
            <w:tcBorders>
              <w:top w:val="single" w:color="000000" w:sz="4" w:space="0"/>
              <w:left w:val="nil"/>
              <w:bottom w:val="single" w:color="000000" w:sz="4" w:space="0"/>
              <w:right w:val="single" w:color="000000" w:sz="4" w:space="0"/>
            </w:tcBorders>
            <w:shd w:val="clear" w:color="FFFFFF" w:fill="C0C0C0"/>
            <w:tcMar>
              <w:top w:w="15" w:type="dxa"/>
              <w:left w:w="15" w:type="dxa"/>
              <w:right w:w="15" w:type="dxa"/>
            </w:tcMar>
            <w:vAlign w:val="center"/>
          </w:tcPr>
          <w:p>
            <w:pPr>
              <w:jc w:val="center"/>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6499"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57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9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533"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c>
          <w:tcPr>
            <w:tcW w:w="9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4</w:t>
            </w:r>
          </w:p>
        </w:tc>
        <w:tc>
          <w:tcPr>
            <w:tcW w:w="910"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5</w:t>
            </w:r>
          </w:p>
        </w:tc>
        <w:tc>
          <w:tcPr>
            <w:tcW w:w="2064" w:type="dxa"/>
            <w:tcBorders>
              <w:top w:val="nil"/>
              <w:left w:val="nil"/>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6</w:t>
            </w:r>
          </w:p>
        </w:tc>
      </w:tr>
      <w:tr>
        <w:tblPrEx>
          <w:tblLayout w:type="fixed"/>
          <w:tblCellMar>
            <w:top w:w="0" w:type="dxa"/>
            <w:left w:w="0" w:type="dxa"/>
            <w:bottom w:w="0" w:type="dxa"/>
            <w:right w:w="0" w:type="dxa"/>
          </w:tblCellMar>
        </w:tblPrEx>
        <w:trPr>
          <w:trHeight w:val="308" w:hRule="atLeast"/>
        </w:trPr>
        <w:tc>
          <w:tcPr>
            <w:tcW w:w="6499" w:type="dxa"/>
            <w:gridSpan w:val="4"/>
            <w:tcBorders>
              <w:top w:val="nil"/>
              <w:left w:val="single" w:color="000000" w:sz="4" w:space="0"/>
              <w:bottom w:val="single" w:color="000000" w:sz="4" w:space="0"/>
              <w:right w:val="single" w:color="000000" w:sz="4" w:space="0"/>
            </w:tcBorders>
            <w:shd w:val="clear" w:color="FFFFFF" w:fill="C0C0C0"/>
            <w:tcMar>
              <w:top w:w="15" w:type="dxa"/>
              <w:left w:w="15" w:type="dxa"/>
              <w:right w:w="15" w:type="dxa"/>
            </w:tcMar>
            <w:vAlign w:val="center"/>
          </w:tcPr>
          <w:p>
            <w:pPr>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b/>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515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3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 w:val="22"/>
                <w:szCs w:val="22"/>
              </w:rPr>
            </w:pPr>
          </w:p>
        </w:tc>
        <w:tc>
          <w:tcPr>
            <w:tcW w:w="15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53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9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c>
          <w:tcPr>
            <w:tcW w:w="206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22"/>
                <w:szCs w:val="22"/>
              </w:rPr>
            </w:pPr>
          </w:p>
        </w:tc>
      </w:tr>
      <w:tr>
        <w:tblPrEx>
          <w:tblLayout w:type="fixed"/>
          <w:tblCellMar>
            <w:top w:w="0" w:type="dxa"/>
            <w:left w:w="0" w:type="dxa"/>
            <w:bottom w:w="0" w:type="dxa"/>
            <w:right w:w="0" w:type="dxa"/>
          </w:tblCellMar>
        </w:tblPrEx>
        <w:trPr>
          <w:trHeight w:val="308" w:hRule="atLeast"/>
        </w:trPr>
        <w:tc>
          <w:tcPr>
            <w:tcW w:w="13396" w:type="dxa"/>
            <w:gridSpan w:val="10"/>
            <w:tcBorders>
              <w:top w:val="nil"/>
              <w:left w:val="nil"/>
              <w:bottom w:val="nil"/>
              <w:right w:val="nil"/>
            </w:tcBorders>
            <w:shd w:val="clear" w:color="auto" w:fill="auto"/>
            <w:tcMar>
              <w:top w:w="15" w:type="dxa"/>
              <w:left w:w="15" w:type="dxa"/>
              <w:right w:w="15" w:type="dxa"/>
            </w:tcMar>
            <w:vAlign w:val="center"/>
          </w:tcPr>
          <w:p>
            <w:pPr>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注：本表反映部门本年度政府性基金预算财政拨款收入、支出及结转和结余情况。本表金额转换为万元时，因四舍五入可能存在尾差。</w:t>
            </w:r>
          </w:p>
        </w:tc>
      </w:tr>
    </w:tbl>
    <w:p>
      <w:pPr>
        <w:jc w:val="center"/>
        <w:rPr>
          <w:rFonts w:ascii="隶书" w:hAnsi="隶书" w:eastAsia="隶书" w:cs="隶书"/>
          <w:sz w:val="48"/>
          <w:szCs w:val="48"/>
        </w:rPr>
      </w:pPr>
    </w:p>
    <w:p>
      <w:pPr>
        <w:outlineLvl w:val="0"/>
        <w:rPr>
          <w:rFonts w:ascii="隶书" w:hAnsi="隶书" w:eastAsia="隶书" w:cs="隶书"/>
          <w:sz w:val="48"/>
          <w:szCs w:val="48"/>
        </w:rPr>
        <w:sectPr>
          <w:pgSz w:w="15840" w:h="12240" w:orient="landscape"/>
          <w:pgMar w:top="1800" w:right="567" w:bottom="1800" w:left="567" w:header="720" w:footer="720" w:gutter="0"/>
          <w:cols w:space="720" w:num="1"/>
          <w:docGrid w:type="lines" w:linePitch="312" w:charSpace="0"/>
        </w:sect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黑体" w:hAnsi="黑体" w:eastAsia="黑体"/>
          <w:sz w:val="48"/>
        </w:rPr>
      </w:pPr>
    </w:p>
    <w:p>
      <w:pPr>
        <w:ind w:firstLine="3360" w:firstLineChars="700"/>
        <w:rPr>
          <w:rFonts w:ascii="Times New Roman" w:hAnsi="Times New Roman" w:eastAsia="Times New Roman"/>
          <w:sz w:val="48"/>
        </w:rPr>
      </w:pPr>
      <w:r>
        <w:rPr>
          <w:rFonts w:hint="eastAsia" w:ascii="黑体" w:hAnsi="黑体" w:eastAsia="黑体"/>
          <w:sz w:val="48"/>
        </w:rPr>
        <w:t>第三部分</w:t>
      </w:r>
    </w:p>
    <w:p>
      <w:pPr>
        <w:jc w:val="center"/>
        <w:rPr>
          <w:rFonts w:ascii="黑体" w:hAnsi="黑体" w:eastAsia="黑体"/>
          <w:sz w:val="48"/>
        </w:rPr>
      </w:pPr>
      <w:r>
        <w:rPr>
          <w:rFonts w:hint="eastAsia" w:ascii="黑体" w:hAnsi="黑体" w:eastAsia="黑体"/>
          <w:sz w:val="48"/>
        </w:rPr>
        <w:t>2019年度部门决算情况说明</w:t>
      </w: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jc w:val="center"/>
        <w:rPr>
          <w:rFonts w:ascii="黑体" w:hAnsi="黑体" w:eastAsia="黑体"/>
          <w:sz w:val="48"/>
        </w:rPr>
      </w:pPr>
    </w:p>
    <w:p>
      <w:pPr>
        <w:ind w:firstLine="640" w:firstLineChars="200"/>
        <w:jc w:val="left"/>
        <w:rPr>
          <w:rFonts w:ascii="仿宋" w:hAnsi="仿宋" w:eastAsia="仿宋"/>
          <w:sz w:val="32"/>
        </w:rPr>
      </w:pPr>
      <w:r>
        <w:rPr>
          <w:rFonts w:hint="eastAsia" w:ascii="黑体" w:hAnsi="黑体" w:eastAsia="黑体"/>
          <w:sz w:val="32"/>
        </w:rPr>
        <w:t>一、收入支出决算总体情况说明</w:t>
      </w:r>
    </w:p>
    <w:p>
      <w:pPr>
        <w:jc w:val="left"/>
        <w:rPr>
          <w:rFonts w:ascii="仿宋" w:hAnsi="仿宋" w:eastAsia="仿宋"/>
          <w:sz w:val="32"/>
        </w:rPr>
      </w:pPr>
      <w:r>
        <w:rPr>
          <w:rFonts w:hint="eastAsia" w:ascii="仿宋" w:hAnsi="仿宋" w:eastAsia="仿宋"/>
          <w:sz w:val="32"/>
        </w:rPr>
        <w:t xml:space="preserve">     2019年度收、支总计均为2487.59万元。与2018年相比，收、支总计各减少</w:t>
      </w:r>
      <w:r>
        <w:rPr>
          <w:rFonts w:hint="eastAsia" w:ascii="仿宋" w:hAnsi="仿宋" w:eastAsia="仿宋"/>
          <w:sz w:val="32"/>
          <w:lang w:val="en-US" w:eastAsia="zh-CN"/>
        </w:rPr>
        <w:t>222.54</w:t>
      </w:r>
      <w:r>
        <w:rPr>
          <w:rFonts w:hint="eastAsia" w:ascii="仿宋" w:hAnsi="仿宋" w:eastAsia="仿宋"/>
          <w:sz w:val="32"/>
        </w:rPr>
        <w:t>万元，减少8.21%。主要原因是响应政府号召，努力缩减办公经费，加之人员转隶，办公经费减少。</w:t>
      </w:r>
    </w:p>
    <w:p>
      <w:pPr>
        <w:ind w:firstLine="640"/>
        <w:jc w:val="left"/>
        <w:rPr>
          <w:rFonts w:ascii="仿宋" w:hAnsi="仿宋" w:eastAsia="仿宋"/>
          <w:sz w:val="32"/>
        </w:rPr>
      </w:pPr>
      <w:r>
        <w:rPr>
          <w:rFonts w:hint="eastAsia" w:ascii="黑体" w:hAnsi="黑体" w:eastAsia="黑体"/>
          <w:sz w:val="32"/>
        </w:rPr>
        <w:t>二、收入决算情况说明</w:t>
      </w:r>
    </w:p>
    <w:p>
      <w:pPr>
        <w:ind w:firstLine="640"/>
        <w:rPr>
          <w:rFonts w:ascii="仿宋" w:hAnsi="仿宋" w:eastAsia="仿宋"/>
          <w:sz w:val="32"/>
        </w:rPr>
      </w:pPr>
      <w:r>
        <w:rPr>
          <w:rFonts w:hint="eastAsia" w:ascii="仿宋" w:hAnsi="仿宋" w:eastAsia="仿宋"/>
          <w:sz w:val="32"/>
        </w:rPr>
        <w:t>2019年度收入合计2487.59万元，其中：财政拨款收入2487.59万元，占100%。</w:t>
      </w:r>
    </w:p>
    <w:p>
      <w:pPr>
        <w:ind w:firstLine="640"/>
        <w:jc w:val="left"/>
        <w:rPr>
          <w:rFonts w:ascii="仿宋" w:hAnsi="仿宋" w:eastAsia="仿宋"/>
          <w:sz w:val="32"/>
        </w:rPr>
      </w:pPr>
      <w:r>
        <w:rPr>
          <w:rFonts w:hint="eastAsia" w:ascii="黑体" w:hAnsi="黑体" w:eastAsia="黑体"/>
          <w:sz w:val="32"/>
        </w:rPr>
        <w:t>三、支出决算情况说明</w:t>
      </w:r>
    </w:p>
    <w:p>
      <w:pPr>
        <w:ind w:firstLine="640"/>
        <w:rPr>
          <w:rFonts w:ascii="仿宋" w:hAnsi="仿宋" w:eastAsia="仿宋"/>
          <w:sz w:val="32"/>
        </w:rPr>
      </w:pPr>
      <w:r>
        <w:rPr>
          <w:rFonts w:hint="eastAsia" w:ascii="仿宋" w:hAnsi="仿宋" w:eastAsia="仿宋"/>
          <w:sz w:val="32"/>
        </w:rPr>
        <w:t>2019年度支出合计2487.59万元，其中：基本支出1970.59万元，占79.21%；项目支出517万元，占20.79%。</w:t>
      </w:r>
    </w:p>
    <w:p>
      <w:pPr>
        <w:ind w:firstLine="640"/>
        <w:jc w:val="left"/>
        <w:rPr>
          <w:rFonts w:ascii="仿宋" w:hAnsi="仿宋" w:eastAsia="仿宋"/>
          <w:sz w:val="32"/>
        </w:rPr>
      </w:pPr>
      <w:r>
        <w:rPr>
          <w:rFonts w:hint="eastAsia" w:ascii="黑体" w:hAnsi="黑体" w:eastAsia="黑体"/>
          <w:sz w:val="32"/>
        </w:rPr>
        <w:t>四、财政拨款收入支出决算总体情况说明</w:t>
      </w:r>
    </w:p>
    <w:p>
      <w:pPr>
        <w:jc w:val="left"/>
        <w:rPr>
          <w:rFonts w:ascii="仿宋" w:hAnsi="仿宋" w:eastAsia="仿宋"/>
          <w:sz w:val="32"/>
        </w:rPr>
      </w:pPr>
      <w:r>
        <w:rPr>
          <w:rFonts w:hint="eastAsia" w:ascii="仿宋" w:hAnsi="仿宋" w:eastAsia="仿宋"/>
          <w:sz w:val="32"/>
        </w:rPr>
        <w:t>2019年财政拨款收、支总计均为2487.59万元。与2018年相比，收、支总计各减少</w:t>
      </w:r>
      <w:r>
        <w:rPr>
          <w:rFonts w:hint="eastAsia" w:ascii="仿宋" w:hAnsi="仿宋" w:eastAsia="仿宋"/>
          <w:sz w:val="32"/>
          <w:lang w:val="en-US" w:eastAsia="zh-CN"/>
        </w:rPr>
        <w:t>222.54</w:t>
      </w:r>
      <w:r>
        <w:rPr>
          <w:rFonts w:hint="eastAsia" w:ascii="仿宋" w:hAnsi="仿宋" w:eastAsia="仿宋"/>
          <w:sz w:val="32"/>
        </w:rPr>
        <w:t>万元，减少8.21%。主要原因响应政府号召，努力缩减办公经费，加之人员转隶，办公经费减少。</w:t>
      </w:r>
    </w:p>
    <w:p>
      <w:pPr>
        <w:ind w:firstLine="640"/>
        <w:jc w:val="left"/>
        <w:rPr>
          <w:rFonts w:ascii="仿宋" w:hAnsi="仿宋" w:eastAsia="仿宋"/>
          <w:sz w:val="32"/>
        </w:rPr>
      </w:pPr>
      <w:r>
        <w:rPr>
          <w:rFonts w:hint="eastAsia" w:ascii="黑体" w:hAnsi="黑体" w:eastAsia="黑体"/>
          <w:sz w:val="32"/>
        </w:rPr>
        <w:t>五、一般公共预算财政拨款支出决算情况说明</w:t>
      </w:r>
    </w:p>
    <w:p>
      <w:pPr>
        <w:ind w:firstLine="640"/>
        <w:jc w:val="left"/>
        <w:rPr>
          <w:rFonts w:ascii="仿宋" w:hAnsi="仿宋" w:eastAsia="仿宋"/>
          <w:sz w:val="32"/>
        </w:rPr>
      </w:pPr>
      <w:r>
        <w:rPr>
          <w:rFonts w:hint="eastAsia" w:ascii="楷体" w:hAnsi="楷体" w:eastAsia="楷体"/>
          <w:sz w:val="32"/>
        </w:rPr>
        <w:t>（一）总体情况。</w:t>
      </w:r>
    </w:p>
    <w:p>
      <w:pPr>
        <w:ind w:firstLine="640"/>
        <w:jc w:val="left"/>
        <w:rPr>
          <w:rFonts w:ascii="仿宋" w:hAnsi="仿宋" w:eastAsia="仿宋"/>
          <w:sz w:val="32"/>
        </w:rPr>
      </w:pPr>
      <w:r>
        <w:rPr>
          <w:rFonts w:hint="eastAsia" w:ascii="仿宋" w:hAnsi="仿宋" w:eastAsia="仿宋"/>
          <w:sz w:val="32"/>
        </w:rPr>
        <w:t>2019年一般公共预算财政拨款支出2487.59万元，占支出合计的100%。与2018年相比，一般公共预算财政拨款支出减少</w:t>
      </w:r>
      <w:r>
        <w:rPr>
          <w:rFonts w:hint="eastAsia" w:ascii="仿宋" w:hAnsi="仿宋" w:eastAsia="仿宋"/>
          <w:sz w:val="32"/>
          <w:lang w:val="en-US" w:eastAsia="zh-CN"/>
        </w:rPr>
        <w:t>222.54</w:t>
      </w:r>
      <w:r>
        <w:rPr>
          <w:rFonts w:hint="eastAsia" w:ascii="仿宋" w:hAnsi="仿宋" w:eastAsia="仿宋"/>
          <w:sz w:val="32"/>
        </w:rPr>
        <w:t>万元，减少8.21%。主要原因是响应政府号召，努力缩减办公经费，加之人员转隶，办公经费减少。</w:t>
      </w:r>
    </w:p>
    <w:p>
      <w:pPr>
        <w:ind w:firstLine="640"/>
        <w:jc w:val="left"/>
        <w:rPr>
          <w:rFonts w:ascii="仿宋" w:hAnsi="仿宋" w:eastAsia="仿宋"/>
          <w:sz w:val="32"/>
        </w:rPr>
      </w:pPr>
      <w:r>
        <w:rPr>
          <w:rFonts w:hint="eastAsia" w:ascii="楷体" w:hAnsi="楷体" w:eastAsia="楷体"/>
          <w:sz w:val="32"/>
        </w:rPr>
        <w:t>（二）结构情况。</w:t>
      </w:r>
    </w:p>
    <w:p>
      <w:pPr>
        <w:ind w:firstLine="640"/>
        <w:jc w:val="left"/>
        <w:rPr>
          <w:rFonts w:ascii="仿宋" w:hAnsi="仿宋" w:eastAsia="仿宋"/>
          <w:sz w:val="32"/>
        </w:rPr>
      </w:pPr>
      <w:r>
        <w:rPr>
          <w:rFonts w:hint="eastAsia" w:ascii="仿宋" w:hAnsi="仿宋" w:eastAsia="仿宋"/>
          <w:sz w:val="32"/>
        </w:rPr>
        <w:t>2019年度一般公共预算财政拨款支出2487.59万元，主要用于以下方面：公共安全（类）支出2206.92万元，占88.71%；社会保障和就业（类）支出159.67万元，占6.41%；医疗卫生和计划生育（类）支出51.48万元，占2.06%；住房保障（类）支出69.52万元，占2.82%。</w:t>
      </w:r>
    </w:p>
    <w:p>
      <w:pPr>
        <w:ind w:firstLine="640"/>
        <w:jc w:val="left"/>
        <w:rPr>
          <w:rFonts w:ascii="仿宋" w:hAnsi="仿宋" w:eastAsia="仿宋"/>
          <w:sz w:val="32"/>
        </w:rPr>
      </w:pPr>
      <w:r>
        <w:rPr>
          <w:rFonts w:hint="eastAsia" w:ascii="楷体" w:hAnsi="楷体" w:eastAsia="楷体"/>
          <w:sz w:val="32"/>
        </w:rPr>
        <w:t>（三）具体情况。</w:t>
      </w:r>
    </w:p>
    <w:p>
      <w:pPr>
        <w:ind w:firstLine="640"/>
        <w:rPr>
          <w:rFonts w:ascii="仿宋" w:hAnsi="仿宋" w:eastAsia="仿宋"/>
          <w:sz w:val="32"/>
        </w:rPr>
      </w:pPr>
      <w:r>
        <w:rPr>
          <w:rFonts w:hint="eastAsia" w:ascii="仿宋" w:hAnsi="仿宋" w:eastAsia="仿宋"/>
          <w:sz w:val="32"/>
        </w:rPr>
        <w:t>2019年度一般公共预算财政拨款支出年初预算为2302.56万元，支出决算为2487.59万元，完成年初预算的108.%。决算数与年初预算数存在差异的主要原因：补发增长工资、养老保险金。</w:t>
      </w:r>
    </w:p>
    <w:p>
      <w:pPr>
        <w:ind w:firstLine="640"/>
        <w:jc w:val="left"/>
        <w:rPr>
          <w:rFonts w:ascii="仿宋" w:hAnsi="仿宋" w:eastAsia="仿宋"/>
          <w:sz w:val="32"/>
        </w:rPr>
      </w:pPr>
      <w:r>
        <w:rPr>
          <w:rFonts w:hint="eastAsia" w:ascii="黑体" w:hAnsi="黑体" w:eastAsia="黑体"/>
          <w:sz w:val="32"/>
        </w:rPr>
        <w:t>六、一般公共预算财政拨款基本支出决算情况说明</w:t>
      </w:r>
    </w:p>
    <w:p>
      <w:pPr>
        <w:ind w:firstLine="640"/>
        <w:jc w:val="left"/>
        <w:rPr>
          <w:rFonts w:ascii="仿宋" w:hAnsi="仿宋" w:eastAsia="仿宋"/>
          <w:sz w:val="32"/>
        </w:rPr>
      </w:pPr>
      <w:r>
        <w:rPr>
          <w:rFonts w:hint="eastAsia" w:ascii="仿宋" w:hAnsi="仿宋" w:eastAsia="仿宋"/>
          <w:sz w:val="32"/>
        </w:rPr>
        <w:t>2019年一般公共预算财政拨款基本支出1970.59万元。与2018年相比，减少220.84万元，减少10.07%。变动的主要原因：响应政府号召，努力缩减办公经费，加之人员转隶，办公经费减少。其中：人员经费1553.2万元，主要包括：基本工资、津贴补贴、绩效工资；公用经费417.39万元，主要包括：办公费、印刷费、电费、维修费、业务交通费、差旅费、培训费、邮电费等。</w:t>
      </w:r>
    </w:p>
    <w:p>
      <w:pPr>
        <w:ind w:firstLine="640"/>
        <w:jc w:val="left"/>
        <w:rPr>
          <w:rFonts w:ascii="仿宋" w:hAnsi="仿宋" w:eastAsia="仿宋"/>
          <w:sz w:val="32"/>
        </w:rPr>
      </w:pPr>
      <w:r>
        <w:rPr>
          <w:rFonts w:hint="eastAsia" w:ascii="黑体" w:hAnsi="黑体" w:eastAsia="黑体"/>
          <w:sz w:val="32"/>
        </w:rPr>
        <w:t>七、一般公共预算财政拨款</w:t>
      </w:r>
      <w:r>
        <w:rPr>
          <w:rFonts w:ascii="黑体" w:hAnsi="黑体" w:eastAsia="黑体"/>
          <w:sz w:val="32"/>
        </w:rPr>
        <w:t>“</w:t>
      </w:r>
      <w:r>
        <w:rPr>
          <w:rFonts w:hint="eastAsia" w:ascii="黑体" w:hAnsi="黑体" w:eastAsia="黑体"/>
          <w:sz w:val="32"/>
        </w:rPr>
        <w:t>三公</w:t>
      </w:r>
      <w:r>
        <w:rPr>
          <w:rFonts w:ascii="黑体" w:hAnsi="黑体" w:eastAsia="黑体"/>
          <w:sz w:val="32"/>
        </w:rPr>
        <w:t>”</w:t>
      </w:r>
      <w:r>
        <w:rPr>
          <w:rFonts w:hint="eastAsia" w:ascii="黑体" w:hAnsi="黑体" w:eastAsia="黑体"/>
          <w:sz w:val="32"/>
        </w:rPr>
        <w:t>经费支出决算情况说明</w:t>
      </w:r>
    </w:p>
    <w:p>
      <w:pPr>
        <w:ind w:firstLine="640"/>
        <w:jc w:val="left"/>
        <w:rPr>
          <w:rFonts w:ascii="仿宋" w:hAnsi="仿宋" w:eastAsia="仿宋"/>
          <w:sz w:val="32"/>
        </w:rPr>
      </w:pPr>
      <w:r>
        <w:rPr>
          <w:rFonts w:hint="eastAsia" w:ascii="楷体" w:hAnsi="楷体" w:eastAsia="楷体"/>
          <w:sz w:val="32"/>
        </w:rPr>
        <w:t>（一）</w:t>
      </w:r>
      <w:r>
        <w:rPr>
          <w:rFonts w:ascii="楷体" w:hAnsi="楷体" w:eastAsia="楷体"/>
          <w:sz w:val="32"/>
        </w:rPr>
        <w:t>“</w:t>
      </w:r>
      <w:r>
        <w:rPr>
          <w:rFonts w:hint="eastAsia" w:ascii="楷体" w:hAnsi="楷体" w:eastAsia="楷体"/>
          <w:sz w:val="32"/>
        </w:rPr>
        <w:t>三公</w:t>
      </w:r>
      <w:r>
        <w:rPr>
          <w:rFonts w:ascii="楷体" w:hAnsi="楷体" w:eastAsia="楷体"/>
          <w:sz w:val="32"/>
        </w:rPr>
        <w:t>”</w:t>
      </w:r>
      <w:r>
        <w:rPr>
          <w:rFonts w:hint="eastAsia" w:ascii="楷体" w:hAnsi="楷体" w:eastAsia="楷体"/>
          <w:sz w:val="32"/>
        </w:rPr>
        <w:t>经费财政拨款支出决算总体情况说明。</w:t>
      </w:r>
    </w:p>
    <w:p>
      <w:pPr>
        <w:ind w:firstLine="640"/>
        <w:rPr>
          <w:rFonts w:ascii="仿宋" w:hAnsi="仿宋" w:eastAsia="仿宋"/>
          <w:sz w:val="32"/>
        </w:rPr>
      </w:pPr>
      <w:r>
        <w:rPr>
          <w:rFonts w:hint="eastAsia" w:ascii="仿宋" w:hAnsi="仿宋" w:eastAsia="仿宋"/>
          <w:sz w:val="32"/>
        </w:rPr>
        <w:t>2019年度</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经费财政拨款支出预算为58万元，支出决算为34.85万元，完成预算的60.08%。2019年度</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经费支出决算数与预算数存在差异的主要原因是严格控制执法执勤用车，实行定点加油和维修，出差4人以上派车。</w:t>
      </w:r>
    </w:p>
    <w:p>
      <w:pPr>
        <w:ind w:firstLine="640"/>
        <w:rPr>
          <w:rFonts w:ascii="仿宋" w:hAnsi="仿宋" w:eastAsia="仿宋"/>
          <w:sz w:val="32"/>
        </w:rPr>
      </w:pPr>
      <w:r>
        <w:rPr>
          <w:rFonts w:hint="eastAsia" w:ascii="楷体" w:hAnsi="楷体" w:eastAsia="楷体"/>
          <w:sz w:val="32"/>
        </w:rPr>
        <w:t>（二）</w:t>
      </w:r>
      <w:r>
        <w:rPr>
          <w:rFonts w:ascii="楷体" w:hAnsi="楷体" w:eastAsia="楷体"/>
          <w:sz w:val="32"/>
        </w:rPr>
        <w:t>“</w:t>
      </w:r>
      <w:r>
        <w:rPr>
          <w:rFonts w:hint="eastAsia" w:ascii="楷体" w:hAnsi="楷体" w:eastAsia="楷体"/>
          <w:sz w:val="32"/>
        </w:rPr>
        <w:t>三公</w:t>
      </w:r>
      <w:r>
        <w:rPr>
          <w:rFonts w:ascii="楷体" w:hAnsi="楷体" w:eastAsia="楷体"/>
          <w:sz w:val="32"/>
        </w:rPr>
        <w:t>”</w:t>
      </w:r>
      <w:r>
        <w:rPr>
          <w:rFonts w:hint="eastAsia" w:ascii="楷体" w:hAnsi="楷体" w:eastAsia="楷体"/>
          <w:sz w:val="32"/>
        </w:rPr>
        <w:t>经费财政拨款支出决算具体情况说明。</w:t>
      </w:r>
    </w:p>
    <w:p>
      <w:pPr>
        <w:ind w:firstLine="640"/>
        <w:rPr>
          <w:rFonts w:ascii="仿宋" w:hAnsi="仿宋" w:eastAsia="仿宋"/>
          <w:sz w:val="32"/>
        </w:rPr>
      </w:pPr>
      <w:r>
        <w:rPr>
          <w:rFonts w:hint="eastAsia" w:ascii="仿宋" w:hAnsi="仿宋" w:eastAsia="仿宋"/>
          <w:sz w:val="32"/>
        </w:rPr>
        <w:t>2019年度</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经费财政拨款支出决算中，因公出国（境）费支出决算0万元，占0%，完成预算的0%；公务用车购置及运行费支出决算33.5万元</w:t>
      </w:r>
      <w:r>
        <w:rPr>
          <w:rFonts w:hint="eastAsia" w:ascii="仿宋" w:hAnsi="仿宋" w:eastAsia="仿宋"/>
          <w:sz w:val="32"/>
          <w:lang w:eastAsia="zh-CN"/>
        </w:rPr>
        <w:t>，</w:t>
      </w:r>
      <w:r>
        <w:rPr>
          <w:rFonts w:hint="eastAsia" w:ascii="仿宋" w:hAnsi="仿宋" w:eastAsia="仿宋"/>
          <w:sz w:val="32"/>
        </w:rPr>
        <w:t>完成预算的</w:t>
      </w:r>
      <w:r>
        <w:rPr>
          <w:rFonts w:hint="eastAsia" w:ascii="仿宋" w:hAnsi="仿宋" w:eastAsia="仿宋"/>
          <w:sz w:val="32"/>
          <w:lang w:val="en-US" w:eastAsia="zh-CN"/>
        </w:rPr>
        <w:t>69.79</w:t>
      </w:r>
      <w:r>
        <w:rPr>
          <w:rFonts w:hint="eastAsia" w:ascii="仿宋" w:hAnsi="仿宋" w:eastAsia="仿宋"/>
          <w:sz w:val="32"/>
        </w:rPr>
        <w:t>%</w:t>
      </w:r>
      <w:r>
        <w:rPr>
          <w:rFonts w:hint="eastAsia" w:ascii="仿宋" w:hAnsi="仿宋" w:eastAsia="仿宋"/>
          <w:color w:val="000000" w:themeColor="text1"/>
          <w:sz w:val="32"/>
          <w14:textFill>
            <w14:solidFill>
              <w14:schemeClr w14:val="tx1"/>
            </w14:solidFill>
          </w14:textFill>
        </w:rPr>
        <w:t>；</w:t>
      </w:r>
      <w:r>
        <w:rPr>
          <w:rFonts w:hint="eastAsia" w:ascii="仿宋" w:hAnsi="仿宋" w:eastAsia="仿宋"/>
          <w:sz w:val="32"/>
        </w:rPr>
        <w:t>公务接待费支出决算1.35万元</w:t>
      </w:r>
      <w:r>
        <w:rPr>
          <w:rFonts w:hint="eastAsia" w:ascii="仿宋" w:hAnsi="仿宋" w:eastAsia="仿宋"/>
          <w:sz w:val="32"/>
          <w:lang w:eastAsia="zh-CN"/>
        </w:rPr>
        <w:t>，</w:t>
      </w:r>
      <w:r>
        <w:rPr>
          <w:rFonts w:hint="eastAsia" w:ascii="仿宋" w:hAnsi="仿宋" w:eastAsia="仿宋"/>
          <w:sz w:val="32"/>
        </w:rPr>
        <w:t>完成预算的</w:t>
      </w:r>
      <w:r>
        <w:rPr>
          <w:rFonts w:hint="eastAsia" w:ascii="仿宋" w:hAnsi="仿宋" w:eastAsia="仿宋"/>
          <w:sz w:val="32"/>
          <w:lang w:val="en-US" w:eastAsia="zh-CN"/>
        </w:rPr>
        <w:t>13.5</w:t>
      </w:r>
      <w:r>
        <w:rPr>
          <w:rFonts w:hint="eastAsia" w:ascii="仿宋" w:hAnsi="仿宋" w:eastAsia="仿宋"/>
          <w:sz w:val="32"/>
        </w:rPr>
        <w:t>%。具体情况如下：</w:t>
      </w:r>
    </w:p>
    <w:p>
      <w:pPr>
        <w:ind w:firstLine="640"/>
        <w:jc w:val="left"/>
        <w:rPr>
          <w:rFonts w:ascii="仿宋" w:hAnsi="仿宋" w:eastAsia="仿宋"/>
          <w:sz w:val="32"/>
        </w:rPr>
      </w:pPr>
      <w:r>
        <w:rPr>
          <w:rFonts w:hint="eastAsia" w:ascii="仿宋" w:hAnsi="仿宋" w:eastAsia="仿宋"/>
          <w:sz w:val="32"/>
        </w:rPr>
        <w:t>1．因公出国（境）费支出0万元。</w:t>
      </w:r>
    </w:p>
    <w:p>
      <w:pPr>
        <w:ind w:firstLine="640"/>
        <w:jc w:val="left"/>
        <w:rPr>
          <w:rFonts w:ascii="仿宋" w:hAnsi="仿宋" w:eastAsia="仿宋"/>
          <w:sz w:val="32"/>
        </w:rPr>
      </w:pPr>
      <w:r>
        <w:rPr>
          <w:rFonts w:hint="eastAsia" w:ascii="仿宋" w:hAnsi="仿宋" w:eastAsia="仿宋"/>
          <w:sz w:val="32"/>
        </w:rPr>
        <w:t>2．公务用车购置及运行费支出33.5万元。其中：</w:t>
      </w:r>
    </w:p>
    <w:p>
      <w:pPr>
        <w:ind w:firstLine="640"/>
        <w:jc w:val="left"/>
        <w:rPr>
          <w:rFonts w:ascii="仿宋" w:hAnsi="仿宋" w:eastAsia="仿宋"/>
          <w:sz w:val="32"/>
        </w:rPr>
      </w:pPr>
      <w:r>
        <w:rPr>
          <w:rFonts w:hint="eastAsia" w:ascii="仿宋" w:hAnsi="仿宋" w:eastAsia="仿宋"/>
          <w:sz w:val="32"/>
        </w:rPr>
        <w:t>公务用车运行支出33.5万元。主要用于燃油费和维修。2019年末，部门财政拨款公务用车保有量为13辆。</w:t>
      </w:r>
    </w:p>
    <w:p>
      <w:pPr>
        <w:ind w:firstLine="640"/>
        <w:jc w:val="left"/>
        <w:rPr>
          <w:rFonts w:ascii="仿宋" w:hAnsi="仿宋" w:eastAsia="仿宋"/>
          <w:sz w:val="32"/>
        </w:rPr>
      </w:pPr>
      <w:r>
        <w:rPr>
          <w:rFonts w:hint="eastAsia" w:ascii="仿宋" w:hAnsi="仿宋" w:eastAsia="仿宋"/>
          <w:sz w:val="32"/>
        </w:rPr>
        <w:t>3．公务接待费支出1.35万元。其中：</w:t>
      </w:r>
    </w:p>
    <w:p>
      <w:pPr>
        <w:ind w:firstLine="640"/>
        <w:jc w:val="left"/>
        <w:rPr>
          <w:rFonts w:ascii="仿宋" w:hAnsi="仿宋" w:eastAsia="仿宋"/>
          <w:sz w:val="32"/>
        </w:rPr>
      </w:pPr>
      <w:r>
        <w:rPr>
          <w:rFonts w:hint="eastAsia" w:ascii="仿宋" w:hAnsi="仿宋" w:eastAsia="仿宋"/>
          <w:sz w:val="32"/>
        </w:rPr>
        <w:t>其他国内公务接待支出1.35万元，主要用于一般公务接待。</w:t>
      </w:r>
    </w:p>
    <w:p>
      <w:pPr>
        <w:ind w:firstLine="640"/>
        <w:jc w:val="left"/>
        <w:rPr>
          <w:rFonts w:ascii="仿宋" w:hAnsi="仿宋" w:eastAsia="仿宋"/>
          <w:sz w:val="32"/>
        </w:rPr>
      </w:pPr>
      <w:r>
        <w:rPr>
          <w:rFonts w:hint="eastAsia" w:ascii="仿宋" w:hAnsi="仿宋" w:eastAsia="仿宋"/>
          <w:sz w:val="32"/>
        </w:rPr>
        <w:t>河南省周口市项城市人民检察院2017年度共接待国内来访人员303人次（不包括陪同人员）8</w:t>
      </w:r>
      <w:r>
        <w:rPr>
          <w:rFonts w:ascii="仿宋" w:hAnsi="仿宋" w:eastAsia="仿宋"/>
          <w:sz w:val="32"/>
        </w:rPr>
        <w:t>5</w:t>
      </w:r>
      <w:r>
        <w:rPr>
          <w:rFonts w:hint="eastAsia" w:ascii="仿宋" w:hAnsi="仿宋" w:eastAsia="仿宋"/>
          <w:sz w:val="32"/>
        </w:rPr>
        <w:t>批次。</w:t>
      </w:r>
    </w:p>
    <w:p>
      <w:pPr>
        <w:ind w:firstLine="640"/>
        <w:jc w:val="left"/>
        <w:rPr>
          <w:rFonts w:ascii="仿宋" w:hAnsi="仿宋" w:eastAsia="仿宋"/>
          <w:sz w:val="32"/>
        </w:rPr>
      </w:pPr>
      <w:r>
        <w:rPr>
          <w:rFonts w:hint="eastAsia" w:ascii="黑体" w:hAnsi="黑体" w:eastAsia="黑体"/>
          <w:sz w:val="32"/>
        </w:rPr>
        <w:t>八、预算绩效情况说明</w:t>
      </w:r>
    </w:p>
    <w:p>
      <w:pPr>
        <w:ind w:firstLine="640"/>
        <w:jc w:val="left"/>
        <w:rPr>
          <w:rFonts w:ascii="仿宋" w:hAnsi="仿宋" w:eastAsia="仿宋"/>
          <w:sz w:val="32"/>
        </w:rPr>
      </w:pPr>
      <w:r>
        <w:rPr>
          <w:rFonts w:hint="eastAsia" w:ascii="楷体" w:hAnsi="楷体" w:eastAsia="楷体"/>
          <w:sz w:val="32"/>
        </w:rPr>
        <w:t>（一）绩效管理工作开展情况。</w:t>
      </w:r>
    </w:p>
    <w:p>
      <w:pPr>
        <w:spacing w:line="560" w:lineRule="exact"/>
        <w:ind w:firstLine="640" w:firstLineChars="200"/>
        <w:rPr>
          <w:rFonts w:ascii="仿宋" w:hAnsi="仿宋" w:eastAsia="仿宋"/>
          <w:sz w:val="32"/>
        </w:rPr>
      </w:pPr>
      <w:r>
        <w:rPr>
          <w:rFonts w:hint="eastAsia" w:ascii="仿宋_GB2312" w:hAnsi="仿宋" w:eastAsia="仿宋_GB2312"/>
          <w:color w:val="000000"/>
          <w:sz w:val="32"/>
          <w:szCs w:val="32"/>
        </w:rPr>
        <w:t>我单位在上级财政的精心指导下，结合我市实际，按照先易后难、简便有效的原则，采取以点带面的方法，以预算绩效目标管理为切入点，以建立财政支出绩效目标管理体系为目标，积极探索和实践，做好预算绩效管理工作，主要是：完善预算绩效管理机制，将绩效目标融入预算管理；完善预算绩效监督机制，加强绩效目标编制和绩效跟踪管理；完善预算绩效评价机制，实施事前事后绩效评价和再评价；完善预算绩效考核机制，增强预算单位责任感。</w:t>
      </w:r>
    </w:p>
    <w:p>
      <w:pPr>
        <w:numPr>
          <w:ilvl w:val="0"/>
          <w:numId w:val="3"/>
        </w:numPr>
        <w:ind w:firstLine="640"/>
        <w:jc w:val="left"/>
        <w:rPr>
          <w:rFonts w:ascii="楷体" w:hAnsi="楷体" w:eastAsia="楷体"/>
          <w:sz w:val="32"/>
        </w:rPr>
      </w:pPr>
      <w:r>
        <w:rPr>
          <w:rFonts w:hint="eastAsia" w:ascii="楷体" w:hAnsi="楷体" w:eastAsia="楷体"/>
          <w:sz w:val="32"/>
        </w:rPr>
        <w:t>项目绩效自评结果。</w:t>
      </w:r>
    </w:p>
    <w:p>
      <w:pPr>
        <w:ind w:firstLine="640" w:firstLineChars="200"/>
        <w:jc w:val="left"/>
        <w:rPr>
          <w:rFonts w:ascii="仿宋" w:hAnsi="仿宋" w:eastAsia="仿宋"/>
          <w:sz w:val="32"/>
        </w:rPr>
      </w:pPr>
      <w:r>
        <w:rPr>
          <w:rFonts w:hint="eastAsia" w:ascii="仿宋" w:hAnsi="仿宋" w:eastAsia="仿宋" w:cs="仿宋"/>
          <w:color w:val="000000"/>
          <w:sz w:val="32"/>
          <w:szCs w:val="32"/>
        </w:rPr>
        <w:t>我单位成立了由主要负责人担任组长，副职担任副组长的部门预算绩效管理工作领导小组，领导小组下设办公室，积极推进我局预算绩效管理工作，加强预算绩效组织体系建设。根据设定的项目绩效目标，运用科学、合理的绩效评价指标、评价标准和评价方法，对项目支出的经济性、效率性和效益性进行客观、公正的评价。</w:t>
      </w:r>
    </w:p>
    <w:p>
      <w:pPr>
        <w:ind w:firstLine="640"/>
        <w:jc w:val="left"/>
        <w:rPr>
          <w:rFonts w:ascii="仿宋" w:hAnsi="仿宋" w:eastAsia="仿宋"/>
          <w:sz w:val="32"/>
        </w:rPr>
      </w:pPr>
      <w:r>
        <w:rPr>
          <w:rFonts w:hint="eastAsia" w:ascii="黑体" w:hAnsi="黑体" w:eastAsia="黑体"/>
          <w:sz w:val="32"/>
        </w:rPr>
        <w:t>九、政府性基金预算财政拨款支出决算情况说明</w:t>
      </w:r>
    </w:p>
    <w:p>
      <w:pPr>
        <w:ind w:firstLine="640"/>
        <w:rPr>
          <w:rFonts w:ascii="仿宋" w:hAnsi="仿宋" w:eastAsia="仿宋"/>
          <w:sz w:val="32"/>
        </w:rPr>
      </w:pPr>
      <w:r>
        <w:rPr>
          <w:rFonts w:hint="eastAsia" w:ascii="仿宋" w:hAnsi="仿宋" w:eastAsia="仿宋"/>
          <w:sz w:val="32"/>
        </w:rPr>
        <w:t>2019年度政府性基金预算财政拨款支出年初预算为0万元，支出决算为0万元，完成年初预算的0%。</w:t>
      </w:r>
    </w:p>
    <w:p>
      <w:pPr>
        <w:ind w:firstLine="640"/>
        <w:jc w:val="left"/>
        <w:rPr>
          <w:rFonts w:ascii="仿宋" w:hAnsi="仿宋" w:eastAsia="仿宋"/>
          <w:sz w:val="32"/>
        </w:rPr>
      </w:pPr>
      <w:r>
        <w:rPr>
          <w:rFonts w:hint="eastAsia" w:ascii="黑体" w:hAnsi="黑体" w:eastAsia="黑体"/>
          <w:sz w:val="32"/>
        </w:rPr>
        <w:t>十、机关运行经费支出情况说明</w:t>
      </w:r>
    </w:p>
    <w:p>
      <w:pPr>
        <w:ind w:firstLine="640"/>
        <w:rPr>
          <w:rFonts w:ascii="仿宋" w:hAnsi="仿宋" w:eastAsia="仿宋"/>
          <w:sz w:val="32"/>
        </w:rPr>
      </w:pPr>
      <w:r>
        <w:rPr>
          <w:rFonts w:hint="eastAsia" w:ascii="仿宋" w:hAnsi="仿宋" w:eastAsia="仿宋"/>
          <w:sz w:val="32"/>
        </w:rPr>
        <w:t>2019年度机关运行经费支出417.39万元。其中：办公费98.21万元、印刷费5万元、咨询费37.5万元、水电费32万元、邮电费15万元、物业费23万元、差旅费36.24万元、维修维护费56.35万元、培训费33.5万元、公务接待费1.35万元、劳务费1.7万元、工会经费8.35万元、职工福利费17.38万元、公务车辆运行33.5万元、其它商品服务支持23.14万元。</w:t>
      </w:r>
    </w:p>
    <w:p>
      <w:pPr>
        <w:ind w:firstLine="640"/>
        <w:jc w:val="left"/>
        <w:rPr>
          <w:rFonts w:ascii="仿宋" w:hAnsi="仿宋" w:eastAsia="仿宋"/>
          <w:sz w:val="32"/>
        </w:rPr>
      </w:pPr>
      <w:r>
        <w:rPr>
          <w:rFonts w:hint="eastAsia" w:ascii="黑体" w:hAnsi="黑体" w:eastAsia="黑体"/>
          <w:sz w:val="32"/>
        </w:rPr>
        <w:t>十一、政府采购支出情况说明</w:t>
      </w:r>
    </w:p>
    <w:p>
      <w:pPr>
        <w:ind w:firstLine="640"/>
        <w:rPr>
          <w:rFonts w:ascii="仿宋" w:hAnsi="仿宋" w:eastAsia="仿宋"/>
          <w:sz w:val="32"/>
        </w:rPr>
      </w:pPr>
      <w:r>
        <w:rPr>
          <w:rFonts w:hint="eastAsia" w:ascii="仿宋" w:hAnsi="仿宋" w:eastAsia="仿宋"/>
          <w:sz w:val="32"/>
        </w:rPr>
        <w:t>2019年度政府采购支出总额11.38万元，其中：政府采购办公办案装备11.38万元，政府采购</w:t>
      </w:r>
      <w:r>
        <w:rPr>
          <w:rFonts w:hint="eastAsia" w:ascii="仿宋" w:hAnsi="仿宋" w:eastAsia="仿宋"/>
          <w:sz w:val="32"/>
          <w:lang w:val="en-US" w:eastAsia="zh-CN"/>
        </w:rPr>
        <w:t>执法执勤用车0</w:t>
      </w:r>
      <w:r>
        <w:rPr>
          <w:rFonts w:hint="eastAsia" w:ascii="仿宋" w:hAnsi="仿宋" w:eastAsia="仿宋"/>
          <w:sz w:val="32"/>
        </w:rPr>
        <w:t>万元，政府采购工程支出0万元，政府采购服务支出0万元。</w:t>
      </w:r>
    </w:p>
    <w:p>
      <w:pPr>
        <w:ind w:firstLine="640"/>
        <w:jc w:val="left"/>
        <w:rPr>
          <w:rFonts w:ascii="仿宋" w:hAnsi="仿宋" w:eastAsia="仿宋"/>
          <w:sz w:val="32"/>
        </w:rPr>
      </w:pPr>
      <w:r>
        <w:rPr>
          <w:rFonts w:hint="eastAsia" w:ascii="黑体" w:hAnsi="黑体" w:eastAsia="黑体"/>
          <w:sz w:val="32"/>
        </w:rPr>
        <w:t>十二、国有资产占用情况说明</w:t>
      </w:r>
    </w:p>
    <w:p>
      <w:pPr>
        <w:ind w:firstLine="640"/>
        <w:jc w:val="left"/>
        <w:rPr>
          <w:rFonts w:ascii="仿宋" w:hAnsi="仿宋" w:eastAsia="仿宋"/>
          <w:sz w:val="32"/>
        </w:rPr>
      </w:pPr>
      <w:r>
        <w:rPr>
          <w:rFonts w:hint="eastAsia" w:ascii="仿宋" w:hAnsi="仿宋" w:eastAsia="仿宋"/>
          <w:sz w:val="32"/>
        </w:rPr>
        <w:t>2019年末，河南省周口市项城市人民检察院共有车辆13辆，其中：一般公务用车0辆、一般执法执勤用车13辆、特种专业技术用车0辆，其他用车0辆；单位价值50万元以上通用设备0台（套），单位价值100万元以上专用设备0台（套）。</w:t>
      </w:r>
    </w:p>
    <w:p>
      <w:pPr>
        <w:ind w:firstLine="640" w:firstLineChars="200"/>
        <w:jc w:val="left"/>
        <w:rPr>
          <w:rFonts w:ascii="仿宋" w:hAnsi="仿宋" w:eastAsia="仿宋"/>
          <w:sz w:val="32"/>
        </w:rPr>
      </w:pPr>
      <w:r>
        <w:rPr>
          <w:rFonts w:hint="eastAsia" w:ascii="黑体" w:hAnsi="黑体" w:eastAsia="黑体" w:cs="黑体"/>
          <w:sz w:val="32"/>
        </w:rPr>
        <w:t>十三、重点项目预算的绩效目标等预算绩效情况说明</w:t>
      </w:r>
      <w:r>
        <w:rPr>
          <w:rFonts w:hint="eastAsia" w:ascii="仿宋" w:hAnsi="仿宋" w:eastAsia="仿宋"/>
          <w:sz w:val="32"/>
        </w:rPr>
        <w:t xml:space="preserve">   </w:t>
      </w:r>
    </w:p>
    <w:p>
      <w:pPr>
        <w:ind w:firstLine="640" w:firstLineChars="200"/>
        <w:jc w:val="left"/>
        <w:rPr>
          <w:rFonts w:ascii="仿宋" w:hAnsi="仿宋" w:eastAsia="仿宋"/>
          <w:sz w:val="32"/>
        </w:rPr>
      </w:pPr>
      <w:r>
        <w:rPr>
          <w:rFonts w:hint="eastAsia" w:ascii="仿宋" w:hAnsi="仿宋" w:eastAsia="仿宋"/>
          <w:sz w:val="32"/>
        </w:rPr>
        <w:t>2019年度，本单位没有民生项目和重点支出项目，未开展预算绩效评价。</w:t>
      </w:r>
    </w:p>
    <w:p>
      <w:pPr>
        <w:jc w:val="left"/>
        <w:rPr>
          <w:rFonts w:ascii="仿宋" w:hAnsi="仿宋" w:eastAsia="仿宋"/>
          <w:sz w:val="32"/>
        </w:rPr>
      </w:pPr>
      <w:r>
        <w:rPr>
          <w:rFonts w:hint="eastAsia" w:ascii="仿宋" w:hAnsi="仿宋" w:eastAsia="仿宋"/>
          <w:sz w:val="32"/>
        </w:rPr>
        <w:t xml:space="preserve">    </w:t>
      </w:r>
      <w:r>
        <w:rPr>
          <w:rFonts w:hint="eastAsia" w:ascii="黑体" w:hAnsi="黑体" w:eastAsia="黑体"/>
          <w:sz w:val="32"/>
        </w:rPr>
        <w:t>十四、其他重要事项的情况说明</w:t>
      </w:r>
    </w:p>
    <w:p>
      <w:pPr>
        <w:jc w:val="left"/>
        <w:rPr>
          <w:rFonts w:ascii="仿宋" w:hAnsi="仿宋" w:eastAsia="仿宋"/>
          <w:sz w:val="32"/>
        </w:rPr>
      </w:pPr>
      <w:r>
        <w:rPr>
          <w:rFonts w:hint="eastAsia" w:ascii="仿宋" w:hAnsi="仿宋" w:eastAsia="仿宋"/>
          <w:sz w:val="32"/>
        </w:rPr>
        <w:t xml:space="preserve">   无</w:t>
      </w: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jc w:val="left"/>
        <w:rPr>
          <w:rFonts w:ascii="仿宋" w:hAnsi="仿宋" w:eastAsia="仿宋"/>
          <w:sz w:val="32"/>
        </w:rPr>
      </w:pPr>
    </w:p>
    <w:p>
      <w:pPr>
        <w:numPr>
          <w:ilvl w:val="0"/>
          <w:numId w:val="4"/>
        </w:numPr>
        <w:jc w:val="center"/>
        <w:outlineLvl w:val="0"/>
        <w:rPr>
          <w:rFonts w:ascii="隶书" w:hAnsi="隶书" w:eastAsia="隶书" w:cs="隶书"/>
          <w:sz w:val="48"/>
          <w:szCs w:val="48"/>
        </w:rPr>
      </w:pPr>
      <w:r>
        <w:rPr>
          <w:rFonts w:hint="eastAsia" w:ascii="隶书" w:hAnsi="隶书" w:eastAsia="隶书" w:cs="隶书"/>
          <w:sz w:val="48"/>
          <w:szCs w:val="48"/>
        </w:rPr>
        <w:t>　名词解释</w:t>
      </w: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p>
    <w:p>
      <w:pPr>
        <w:numPr>
          <w:numId w:val="0"/>
        </w:numPr>
        <w:jc w:val="center"/>
        <w:outlineLvl w:val="0"/>
        <w:rPr>
          <w:rFonts w:hint="eastAsia" w:ascii="隶书" w:hAnsi="隶书" w:eastAsia="隶书" w:cs="隶书"/>
          <w:sz w:val="48"/>
          <w:szCs w:val="48"/>
        </w:rPr>
      </w:pPr>
      <w:bookmarkStart w:id="0" w:name="_GoBack"/>
      <w:bookmarkEnd w:id="0"/>
    </w:p>
    <w:p>
      <w:pPr>
        <w:spacing w:line="590" w:lineRule="exact"/>
        <w:ind w:firstLine="640" w:firstLineChars="200"/>
        <w:jc w:val="left"/>
        <w:rPr>
          <w:rFonts w:ascii="仿宋_GB2312" w:hAnsi="仿宋_GB2312" w:eastAsia="仿宋_GB2312" w:cs="仿宋_GB2312"/>
          <w:sz w:val="32"/>
          <w:szCs w:val="32"/>
        </w:rPr>
      </w:pP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一、财政拨款收入：单位从同级政府财政部门取得的各类财政拨款。</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六、其他收入：单位取得的除“财政拨款收入”、“事业收入”、“上级补助收入”、“附属单位上缴收入”、“经营收入”等以外的收入。</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spacing w:line="590" w:lineRule="exact"/>
        <w:ind w:firstLine="640" w:firstLineChars="200"/>
        <w:jc w:val="left"/>
        <w:rPr>
          <w:rFonts w:ascii="黑体" w:hAnsi="仿宋_GB2312" w:eastAsia="黑体"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sectPr>
      <w:pgSz w:w="12240" w:h="15840"/>
      <w:pgMar w:top="1440" w:right="1800" w:bottom="1440" w:left="1800" w:header="720" w:footer="72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小标宋简体">
    <w:altName w:val="微软雅黑"/>
    <w:panose1 w:val="00000000000000000000"/>
    <w:charset w:val="86"/>
    <w:family w:val="auto"/>
    <w:pitch w:val="default"/>
    <w:sig w:usb0="00000000" w:usb1="00000000" w:usb2="00000000" w:usb3="00000000" w:csb0="00040000" w:csb1="00000000"/>
  </w:font>
  <w:font w:name="隶书">
    <w:panose1 w:val="02010509060101010101"/>
    <w:charset w:val="86"/>
    <w:family w:val="modern"/>
    <w:pitch w:val="default"/>
    <w:sig w:usb0="00000001" w:usb1="080E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- 17 -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s0lY7tAAAAAFAQAADwAAAAAAAAABACAA&#10;AAAiAAAAZHJzL2Rvd25yZXYueG1sUEsBAhQAFAAAAAgAh07iQCt4qQ0VAgAAFQQAAA4AAAAAAAAA&#10;AQAgAAAAHwEAAGRycy9lMm9Eb2MueG1sUEsFBgAAAAAGAAYAWQEAAKY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- 17 -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14530A"/>
    <w:multiLevelType w:val="singleLevel"/>
    <w:tmpl w:val="8514530A"/>
    <w:lvl w:ilvl="0" w:tentative="0">
      <w:start w:val="2"/>
      <w:numFmt w:val="chineseCounting"/>
      <w:suff w:val="nothing"/>
      <w:lvlText w:val="（%1）"/>
      <w:lvlJc w:val="left"/>
      <w:rPr>
        <w:rFonts w:hint="eastAsia"/>
      </w:rPr>
    </w:lvl>
  </w:abstractNum>
  <w:abstractNum w:abstractNumId="1">
    <w:nsid w:val="E6A43B2B"/>
    <w:multiLevelType w:val="singleLevel"/>
    <w:tmpl w:val="E6A43B2B"/>
    <w:lvl w:ilvl="0" w:tentative="0">
      <w:start w:val="4"/>
      <w:numFmt w:val="chineseCounting"/>
      <w:suff w:val="nothing"/>
      <w:lvlText w:val="第%1部分　"/>
      <w:lvlJc w:val="left"/>
      <w:rPr>
        <w:rFonts w:hint="eastAsia"/>
      </w:rPr>
    </w:lvl>
  </w:abstractNum>
  <w:abstractNum w:abstractNumId="2">
    <w:nsid w:val="5971BE17"/>
    <w:multiLevelType w:val="singleLevel"/>
    <w:tmpl w:val="5971BE17"/>
    <w:lvl w:ilvl="0" w:tentative="0">
      <w:start w:val="1"/>
      <w:numFmt w:val="chineseCounting"/>
      <w:suff w:val="nothing"/>
      <w:lvlText w:val="%1、"/>
      <w:lvlJc w:val="left"/>
    </w:lvl>
  </w:abstractNum>
  <w:abstractNum w:abstractNumId="3">
    <w:nsid w:val="5971BF59"/>
    <w:multiLevelType w:val="singleLevel"/>
    <w:tmpl w:val="5971BF59"/>
    <w:lvl w:ilvl="0" w:tentative="0">
      <w:start w:val="1"/>
      <w:numFmt w:val="chineseCounting"/>
      <w:suff w:val="nothing"/>
      <w:lvlText w:val="%1、"/>
      <w:lvlJc w:val="left"/>
      <w:pPr>
        <w:ind w:left="0" w:firstLine="420"/>
      </w:pPr>
      <w:rPr>
        <w:rFonts w:hint="eastAsia"/>
        <w:lang w:val="en-US"/>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F2EA9"/>
    <w:rsid w:val="00172A27"/>
    <w:rsid w:val="00292C5B"/>
    <w:rsid w:val="003E6CEB"/>
    <w:rsid w:val="007E4241"/>
    <w:rsid w:val="0088104C"/>
    <w:rsid w:val="009A75E0"/>
    <w:rsid w:val="00A92CCB"/>
    <w:rsid w:val="00A954A4"/>
    <w:rsid w:val="011F49B4"/>
    <w:rsid w:val="02207FE4"/>
    <w:rsid w:val="02295357"/>
    <w:rsid w:val="03A067CF"/>
    <w:rsid w:val="058C6852"/>
    <w:rsid w:val="06E90CF2"/>
    <w:rsid w:val="08055BF0"/>
    <w:rsid w:val="08B642A8"/>
    <w:rsid w:val="0913677A"/>
    <w:rsid w:val="09185A62"/>
    <w:rsid w:val="092F66AF"/>
    <w:rsid w:val="0A01099C"/>
    <w:rsid w:val="0A1D1C89"/>
    <w:rsid w:val="0B5444A0"/>
    <w:rsid w:val="0B817233"/>
    <w:rsid w:val="0B827729"/>
    <w:rsid w:val="0D182259"/>
    <w:rsid w:val="0D434F1C"/>
    <w:rsid w:val="0D760429"/>
    <w:rsid w:val="0E6C06CF"/>
    <w:rsid w:val="0E703CF0"/>
    <w:rsid w:val="109D2FB9"/>
    <w:rsid w:val="10A219E0"/>
    <w:rsid w:val="1115199A"/>
    <w:rsid w:val="11556E12"/>
    <w:rsid w:val="13D75236"/>
    <w:rsid w:val="140877C8"/>
    <w:rsid w:val="143A2FFC"/>
    <w:rsid w:val="169644B1"/>
    <w:rsid w:val="16FE01A9"/>
    <w:rsid w:val="18121C4C"/>
    <w:rsid w:val="18AE74FD"/>
    <w:rsid w:val="18F80B11"/>
    <w:rsid w:val="1AD30C24"/>
    <w:rsid w:val="1B2644DC"/>
    <w:rsid w:val="1BFB7A20"/>
    <w:rsid w:val="1C62330E"/>
    <w:rsid w:val="1EE1205C"/>
    <w:rsid w:val="1EE92EFD"/>
    <w:rsid w:val="1F1F5E31"/>
    <w:rsid w:val="1F8F1F2D"/>
    <w:rsid w:val="22ED769E"/>
    <w:rsid w:val="23680912"/>
    <w:rsid w:val="23F10331"/>
    <w:rsid w:val="244D7533"/>
    <w:rsid w:val="25904D4A"/>
    <w:rsid w:val="25FC5542"/>
    <w:rsid w:val="27955D7E"/>
    <w:rsid w:val="2BA93013"/>
    <w:rsid w:val="2C6232EA"/>
    <w:rsid w:val="2CFD7CDC"/>
    <w:rsid w:val="2CFE5DBA"/>
    <w:rsid w:val="2D083CAF"/>
    <w:rsid w:val="2EE168E0"/>
    <w:rsid w:val="30825768"/>
    <w:rsid w:val="30A2774E"/>
    <w:rsid w:val="31242394"/>
    <w:rsid w:val="32761D17"/>
    <w:rsid w:val="36626996"/>
    <w:rsid w:val="3723631E"/>
    <w:rsid w:val="37E26E00"/>
    <w:rsid w:val="38781763"/>
    <w:rsid w:val="38CF5564"/>
    <w:rsid w:val="38D00780"/>
    <w:rsid w:val="397D5F98"/>
    <w:rsid w:val="3B3F391F"/>
    <w:rsid w:val="3B430238"/>
    <w:rsid w:val="3BDA3423"/>
    <w:rsid w:val="3BDC261D"/>
    <w:rsid w:val="3C134F8A"/>
    <w:rsid w:val="3DE45FC2"/>
    <w:rsid w:val="3F983DBB"/>
    <w:rsid w:val="3FFF6DE3"/>
    <w:rsid w:val="403915BF"/>
    <w:rsid w:val="40543071"/>
    <w:rsid w:val="41C05862"/>
    <w:rsid w:val="426021F2"/>
    <w:rsid w:val="436D7921"/>
    <w:rsid w:val="44E1085E"/>
    <w:rsid w:val="44FA7946"/>
    <w:rsid w:val="456839E9"/>
    <w:rsid w:val="45D96B5B"/>
    <w:rsid w:val="46C759D5"/>
    <w:rsid w:val="476B0C48"/>
    <w:rsid w:val="480A7C50"/>
    <w:rsid w:val="48EB305D"/>
    <w:rsid w:val="49FE6D2A"/>
    <w:rsid w:val="4ACC621A"/>
    <w:rsid w:val="4B6D54B8"/>
    <w:rsid w:val="4B7348AA"/>
    <w:rsid w:val="4C655BF0"/>
    <w:rsid w:val="4CBD290E"/>
    <w:rsid w:val="4E800ED6"/>
    <w:rsid w:val="4F0B634F"/>
    <w:rsid w:val="4FB6623D"/>
    <w:rsid w:val="4FCA3741"/>
    <w:rsid w:val="51B31C2C"/>
    <w:rsid w:val="54381C72"/>
    <w:rsid w:val="56443629"/>
    <w:rsid w:val="57C91D54"/>
    <w:rsid w:val="57EE3363"/>
    <w:rsid w:val="58A0038B"/>
    <w:rsid w:val="5A526798"/>
    <w:rsid w:val="5AE362E5"/>
    <w:rsid w:val="5B217C49"/>
    <w:rsid w:val="5B2E58D6"/>
    <w:rsid w:val="5C824EA4"/>
    <w:rsid w:val="5DB25767"/>
    <w:rsid w:val="5E445A86"/>
    <w:rsid w:val="5EF1669A"/>
    <w:rsid w:val="604924B0"/>
    <w:rsid w:val="60C04DA1"/>
    <w:rsid w:val="621554C4"/>
    <w:rsid w:val="62B476DE"/>
    <w:rsid w:val="631824F1"/>
    <w:rsid w:val="635F3550"/>
    <w:rsid w:val="636A6E76"/>
    <w:rsid w:val="63A10704"/>
    <w:rsid w:val="66305B3A"/>
    <w:rsid w:val="676478A7"/>
    <w:rsid w:val="678F035A"/>
    <w:rsid w:val="67F67898"/>
    <w:rsid w:val="6822168A"/>
    <w:rsid w:val="69412E4D"/>
    <w:rsid w:val="6AFD0109"/>
    <w:rsid w:val="6B80031F"/>
    <w:rsid w:val="6B964F50"/>
    <w:rsid w:val="6C3B451A"/>
    <w:rsid w:val="6D6A5335"/>
    <w:rsid w:val="6D787916"/>
    <w:rsid w:val="6DA27E0D"/>
    <w:rsid w:val="6E197574"/>
    <w:rsid w:val="6E34301B"/>
    <w:rsid w:val="6F365E25"/>
    <w:rsid w:val="70472784"/>
    <w:rsid w:val="713469A2"/>
    <w:rsid w:val="72DA1E76"/>
    <w:rsid w:val="72FA6B48"/>
    <w:rsid w:val="72FD56B4"/>
    <w:rsid w:val="72FD78AE"/>
    <w:rsid w:val="73BD6456"/>
    <w:rsid w:val="74000C3E"/>
    <w:rsid w:val="758C7E17"/>
    <w:rsid w:val="76CF1F89"/>
    <w:rsid w:val="76FE6011"/>
    <w:rsid w:val="77135D77"/>
    <w:rsid w:val="77761571"/>
    <w:rsid w:val="795728EE"/>
    <w:rsid w:val="7A5F6712"/>
    <w:rsid w:val="7AC95831"/>
    <w:rsid w:val="7ACF151D"/>
    <w:rsid w:val="7B0C6603"/>
    <w:rsid w:val="7BA2192D"/>
    <w:rsid w:val="7DB35D7D"/>
    <w:rsid w:val="7DC72414"/>
    <w:rsid w:val="7EB135CB"/>
    <w:rsid w:val="7EF03049"/>
    <w:rsid w:val="7F4E72FD"/>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eastAsia="宋体" w:asciiTheme="minorHAnsi" w:hAnsiTheme="minorHAnsi" w:cstheme="minorBidi"/>
      <w:kern w:val="2"/>
      <w:sz w:val="21"/>
      <w:lang w:val="en-US" w:eastAsia="zh-CN" w:bidi="ar-SA"/>
    </w:rPr>
  </w:style>
  <w:style w:type="paragraph" w:styleId="2">
    <w:name w:val="heading 2"/>
    <w:basedOn w:val="1"/>
    <w:next w:val="1"/>
    <w:unhideWhenUsed/>
    <w:qFormat/>
    <w:uiPriority w:val="0"/>
    <w:pPr>
      <w:keepNext/>
      <w:keepLines/>
      <w:spacing w:before="260" w:after="260" w:line="413" w:lineRule="auto"/>
      <w:outlineLvl w:val="1"/>
    </w:pPr>
    <w:rPr>
      <w:rFonts w:ascii="Arial" w:hAnsi="Arial" w:eastAsia="黑体"/>
      <w:b/>
      <w:sz w:val="32"/>
    </w:rPr>
  </w:style>
  <w:style w:type="character" w:default="1" w:styleId="5">
    <w:name w:val="Default Paragraph Font"/>
    <w:unhideWhenUsed/>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1965</Words>
  <Characters>11201</Characters>
  <Lines>93</Lines>
  <Paragraphs>26</Paragraphs>
  <TotalTime>0</TotalTime>
  <ScaleCrop>false</ScaleCrop>
  <LinksUpToDate>false</LinksUpToDate>
  <CharactersWithSpaces>13140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LENOVO</cp:lastModifiedBy>
  <dcterms:modified xsi:type="dcterms:W3CDTF">2021-05-13T02:08:44Z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