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4824" w:rsidRDefault="002E4824">
      <w:pPr>
        <w:jc w:val="center"/>
        <w:rPr>
          <w:rFonts w:ascii="黑体" w:eastAsia="黑体" w:hAnsi="黑体" w:cs="黑体"/>
          <w:sz w:val="52"/>
          <w:szCs w:val="52"/>
        </w:rPr>
      </w:pPr>
    </w:p>
    <w:p w:rsidR="002E4824" w:rsidRDefault="002E4824">
      <w:pPr>
        <w:jc w:val="center"/>
        <w:rPr>
          <w:rFonts w:ascii="黑体" w:eastAsia="黑体" w:hAnsi="黑体" w:cs="黑体"/>
          <w:sz w:val="52"/>
          <w:szCs w:val="52"/>
        </w:rPr>
      </w:pPr>
    </w:p>
    <w:p w:rsidR="002E4824" w:rsidRDefault="002E4824">
      <w:pPr>
        <w:jc w:val="center"/>
        <w:rPr>
          <w:rFonts w:ascii="黑体" w:eastAsia="黑体" w:hAnsi="黑体" w:cs="黑体"/>
          <w:sz w:val="52"/>
          <w:szCs w:val="52"/>
        </w:rPr>
      </w:pPr>
    </w:p>
    <w:p w:rsidR="002E4824" w:rsidRDefault="009B5BF3">
      <w:pPr>
        <w:jc w:val="center"/>
        <w:rPr>
          <w:rFonts w:ascii="黑体" w:eastAsia="黑体" w:hAnsi="黑体" w:cs="黑体"/>
          <w:sz w:val="52"/>
          <w:szCs w:val="52"/>
        </w:rPr>
      </w:pPr>
      <w:r>
        <w:rPr>
          <w:rFonts w:ascii="黑体" w:eastAsia="黑体" w:hAnsi="黑体" w:cs="黑体" w:hint="eastAsia"/>
          <w:sz w:val="52"/>
          <w:szCs w:val="52"/>
        </w:rPr>
        <w:t>2019年度</w:t>
      </w:r>
    </w:p>
    <w:p w:rsidR="002E4824" w:rsidRDefault="009B5BF3">
      <w:pPr>
        <w:jc w:val="center"/>
        <w:rPr>
          <w:rFonts w:ascii="黑体" w:eastAsia="黑体" w:hAnsi="黑体" w:cs="黑体"/>
          <w:sz w:val="52"/>
          <w:szCs w:val="52"/>
        </w:rPr>
      </w:pPr>
      <w:r>
        <w:rPr>
          <w:rFonts w:ascii="黑体" w:eastAsia="黑体" w:hAnsi="黑体" w:cs="黑体" w:hint="eastAsia"/>
          <w:sz w:val="52"/>
          <w:szCs w:val="52"/>
        </w:rPr>
        <w:t>中共项城市委宣传部部门决算</w:t>
      </w:r>
    </w:p>
    <w:p w:rsidR="002E4824" w:rsidRDefault="002E4824">
      <w:pPr>
        <w:jc w:val="center"/>
        <w:rPr>
          <w:rFonts w:ascii="黑体" w:eastAsia="黑体" w:hAnsi="黑体" w:cs="黑体"/>
          <w:sz w:val="52"/>
          <w:szCs w:val="52"/>
        </w:rPr>
      </w:pPr>
    </w:p>
    <w:p w:rsidR="002E4824" w:rsidRDefault="002E4824">
      <w:pPr>
        <w:jc w:val="center"/>
        <w:rPr>
          <w:rFonts w:ascii="黑体" w:eastAsia="黑体" w:hAnsi="黑体" w:cs="黑体"/>
          <w:sz w:val="52"/>
          <w:szCs w:val="52"/>
        </w:rPr>
      </w:pPr>
    </w:p>
    <w:p w:rsidR="002E4824" w:rsidRDefault="002E4824">
      <w:pPr>
        <w:jc w:val="center"/>
        <w:rPr>
          <w:rFonts w:ascii="黑体" w:eastAsia="黑体" w:hAnsi="黑体" w:cs="黑体"/>
          <w:sz w:val="52"/>
          <w:szCs w:val="52"/>
        </w:rPr>
      </w:pPr>
    </w:p>
    <w:p w:rsidR="002E4824" w:rsidRDefault="002E4824">
      <w:pPr>
        <w:jc w:val="center"/>
        <w:rPr>
          <w:rFonts w:ascii="黑体" w:eastAsia="黑体" w:hAnsi="黑体" w:cs="黑体"/>
          <w:sz w:val="52"/>
          <w:szCs w:val="52"/>
        </w:rPr>
      </w:pPr>
    </w:p>
    <w:p w:rsidR="002E4824" w:rsidRDefault="002E4824">
      <w:pPr>
        <w:jc w:val="center"/>
        <w:rPr>
          <w:rFonts w:ascii="黑体" w:eastAsia="黑体" w:hAnsi="黑体" w:cs="黑体"/>
          <w:sz w:val="52"/>
          <w:szCs w:val="52"/>
        </w:rPr>
      </w:pPr>
    </w:p>
    <w:p w:rsidR="002E4824" w:rsidRDefault="002E4824">
      <w:pPr>
        <w:jc w:val="center"/>
        <w:rPr>
          <w:rFonts w:ascii="黑体" w:eastAsia="黑体" w:hAnsi="黑体" w:cs="黑体"/>
          <w:sz w:val="52"/>
          <w:szCs w:val="52"/>
        </w:rPr>
      </w:pPr>
    </w:p>
    <w:p w:rsidR="002E4824" w:rsidRDefault="009B5BF3">
      <w:pPr>
        <w:jc w:val="center"/>
        <w:rPr>
          <w:rFonts w:ascii="黑体" w:eastAsia="黑体" w:hAnsi="黑体" w:cs="黑体"/>
          <w:sz w:val="32"/>
          <w:szCs w:val="32"/>
        </w:rPr>
        <w:sectPr w:rsidR="002E4824">
          <w:pgSz w:w="11906" w:h="16838"/>
          <w:pgMar w:top="1440" w:right="1531" w:bottom="1440" w:left="1587" w:header="850" w:footer="992" w:gutter="0"/>
          <w:pgNumType w:fmt="numberInDash"/>
          <w:cols w:space="720"/>
          <w:docGrid w:type="lines" w:linePitch="317"/>
        </w:sectPr>
      </w:pPr>
      <w:r>
        <w:rPr>
          <w:rFonts w:ascii="黑体" w:eastAsia="黑体" w:hAnsi="黑体" w:cs="黑体" w:hint="eastAsia"/>
          <w:sz w:val="32"/>
          <w:szCs w:val="32"/>
        </w:rPr>
        <w:t>二〇二〇年十月</w:t>
      </w:r>
    </w:p>
    <w:p w:rsidR="002E4824" w:rsidRDefault="009B5BF3">
      <w:pPr>
        <w:jc w:val="center"/>
        <w:rPr>
          <w:rFonts w:ascii="黑体" w:eastAsia="黑体" w:hAnsi="黑体" w:cs="黑体"/>
          <w:sz w:val="36"/>
          <w:szCs w:val="36"/>
        </w:rPr>
      </w:pPr>
      <w:r>
        <w:rPr>
          <w:rFonts w:ascii="黑体" w:eastAsia="黑体" w:hAnsi="黑体" w:cs="黑体" w:hint="eastAsia"/>
          <w:sz w:val="36"/>
          <w:szCs w:val="36"/>
        </w:rPr>
        <w:lastRenderedPageBreak/>
        <w:t>目　　录</w:t>
      </w:r>
    </w:p>
    <w:p w:rsidR="002E4824" w:rsidRDefault="009B5BF3">
      <w:pPr>
        <w:jc w:val="left"/>
        <w:rPr>
          <w:rFonts w:ascii="黑体" w:eastAsia="黑体" w:hAnsi="黑体" w:cs="黑体"/>
          <w:sz w:val="32"/>
          <w:szCs w:val="32"/>
        </w:rPr>
      </w:pPr>
      <w:r>
        <w:rPr>
          <w:rFonts w:ascii="黑体" w:eastAsia="黑体" w:hAnsi="黑体" w:cs="黑体" w:hint="eastAsia"/>
          <w:sz w:val="32"/>
          <w:szCs w:val="32"/>
        </w:rPr>
        <w:t>第一部分　中共项城市委宣传部概况</w:t>
      </w:r>
    </w:p>
    <w:p w:rsidR="002E4824" w:rsidRDefault="009B5BF3">
      <w:pPr>
        <w:numPr>
          <w:ilvl w:val="0"/>
          <w:numId w:val="1"/>
        </w:numPr>
        <w:ind w:firstLineChars="200" w:firstLine="640"/>
        <w:jc w:val="left"/>
        <w:rPr>
          <w:rFonts w:ascii="宋体" w:hAnsi="宋体" w:cs="宋体"/>
          <w:sz w:val="32"/>
          <w:szCs w:val="32"/>
        </w:rPr>
      </w:pPr>
      <w:r>
        <w:rPr>
          <w:rFonts w:ascii="宋体" w:hAnsi="宋体" w:cs="宋体" w:hint="eastAsia"/>
          <w:sz w:val="32"/>
          <w:szCs w:val="32"/>
        </w:rPr>
        <w:t>部门职责</w:t>
      </w:r>
    </w:p>
    <w:p w:rsidR="002E4824" w:rsidRDefault="009B5BF3">
      <w:pPr>
        <w:numPr>
          <w:ilvl w:val="0"/>
          <w:numId w:val="1"/>
        </w:numPr>
        <w:ind w:firstLineChars="200" w:firstLine="640"/>
        <w:jc w:val="left"/>
        <w:rPr>
          <w:rFonts w:ascii="宋体" w:hAnsi="宋体" w:cs="宋体"/>
          <w:sz w:val="32"/>
          <w:szCs w:val="32"/>
        </w:rPr>
      </w:pPr>
      <w:r>
        <w:rPr>
          <w:rFonts w:ascii="宋体" w:hAnsi="宋体" w:cs="宋体" w:hint="eastAsia"/>
          <w:sz w:val="32"/>
          <w:szCs w:val="32"/>
        </w:rPr>
        <w:t>机构设置</w:t>
      </w:r>
    </w:p>
    <w:p w:rsidR="002E4824" w:rsidRDefault="009B5BF3">
      <w:pPr>
        <w:jc w:val="left"/>
        <w:rPr>
          <w:rFonts w:ascii="黑体" w:eastAsia="黑体" w:hAnsi="黑体" w:cs="黑体"/>
          <w:sz w:val="32"/>
          <w:szCs w:val="32"/>
        </w:rPr>
      </w:pPr>
      <w:r>
        <w:rPr>
          <w:rFonts w:ascii="黑体" w:eastAsia="黑体" w:hAnsi="黑体" w:cs="黑体" w:hint="eastAsia"/>
          <w:sz w:val="32"/>
          <w:szCs w:val="32"/>
        </w:rPr>
        <w:t>第二部分　　2019年度部门决算表</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一、收入支出决算总表</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二、收入决算表</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三、支出决算表</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四、财政拨款收入支出决算总表</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五、一般公共预算财政拨款支出决算表</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六、一般公共预算财政拨款基本支出决算表</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七、一般公共预算财政拨款“三公”经费支出决算表</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八、政府性基金预算财政拨款收入支出决算表</w:t>
      </w:r>
    </w:p>
    <w:p w:rsidR="002E4824" w:rsidRDefault="009B5BF3">
      <w:pPr>
        <w:jc w:val="left"/>
        <w:rPr>
          <w:rFonts w:ascii="黑体" w:eastAsia="黑体" w:hAnsi="黑体" w:cs="黑体"/>
          <w:sz w:val="32"/>
          <w:szCs w:val="32"/>
        </w:rPr>
      </w:pPr>
      <w:r>
        <w:rPr>
          <w:rFonts w:ascii="黑体" w:eastAsia="黑体" w:hAnsi="黑体" w:cs="黑体" w:hint="eastAsia"/>
          <w:sz w:val="32"/>
          <w:szCs w:val="32"/>
        </w:rPr>
        <w:t>第三部分　　2019年度部门决算情况说明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一、收入支出决算总体情况说明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二、收入决算情况说明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三、支出决算情况说明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四、财政拨款收入支出决算总体情况说明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五、一般公共预算财政拨款支出决算情况说明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六、一般公共预算财政拨款基本支出决算情况说明</w:t>
      </w:r>
    </w:p>
    <w:p w:rsidR="002E4824" w:rsidRDefault="009B5BF3">
      <w:pPr>
        <w:ind w:firstLineChars="200" w:firstLine="640"/>
        <w:jc w:val="left"/>
        <w:rPr>
          <w:rFonts w:ascii="宋体" w:hAnsi="宋体" w:cs="宋体"/>
          <w:kern w:val="10"/>
          <w:sz w:val="32"/>
          <w:szCs w:val="32"/>
        </w:rPr>
      </w:pPr>
      <w:r>
        <w:rPr>
          <w:rFonts w:ascii="宋体" w:hAnsi="宋体" w:cs="宋体" w:hint="eastAsia"/>
          <w:sz w:val="32"/>
          <w:szCs w:val="32"/>
        </w:rPr>
        <w:t>七、</w:t>
      </w:r>
      <w:r>
        <w:rPr>
          <w:rFonts w:ascii="宋体" w:hAnsi="宋体" w:cs="宋体" w:hint="eastAsia"/>
          <w:kern w:val="10"/>
          <w:sz w:val="32"/>
          <w:szCs w:val="32"/>
        </w:rPr>
        <w:t>一般公共预算财政拨款“三公”经费支出决算情况说明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lastRenderedPageBreak/>
        <w:t>八、预算绩效情况说明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九、政府性基金预算财政拨款支出决算情况说明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十、机关运行经费支出情况说明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十一、政府采购支出情况说明</w:t>
      </w:r>
    </w:p>
    <w:p w:rsidR="002E4824" w:rsidRDefault="009B5BF3">
      <w:pPr>
        <w:ind w:firstLineChars="200" w:firstLine="640"/>
        <w:jc w:val="left"/>
        <w:rPr>
          <w:rFonts w:ascii="宋体" w:hAnsi="宋体" w:cs="宋体"/>
          <w:sz w:val="32"/>
          <w:szCs w:val="32"/>
        </w:rPr>
      </w:pPr>
      <w:r>
        <w:rPr>
          <w:rFonts w:ascii="宋体" w:hAnsi="宋体" w:cs="宋体" w:hint="eastAsia"/>
          <w:sz w:val="32"/>
          <w:szCs w:val="32"/>
        </w:rPr>
        <w:t>十二、国有资产占用情况说明</w:t>
      </w:r>
    </w:p>
    <w:p w:rsidR="002E4824" w:rsidRDefault="009B5BF3">
      <w:pPr>
        <w:jc w:val="left"/>
        <w:rPr>
          <w:rFonts w:ascii="黑体" w:eastAsia="黑体" w:hAnsi="黑体" w:cs="黑体"/>
          <w:sz w:val="32"/>
          <w:szCs w:val="32"/>
        </w:rPr>
      </w:pPr>
      <w:r>
        <w:rPr>
          <w:rFonts w:ascii="黑体" w:eastAsia="黑体" w:hAnsi="黑体" w:cs="黑体" w:hint="eastAsia"/>
          <w:sz w:val="32"/>
          <w:szCs w:val="32"/>
        </w:rPr>
        <w:t>第四部分　　名词解释</w:t>
      </w:r>
    </w:p>
    <w:p w:rsidR="002E4824" w:rsidRDefault="002E4824">
      <w:pPr>
        <w:ind w:firstLineChars="200" w:firstLine="640"/>
        <w:jc w:val="left"/>
        <w:rPr>
          <w:rFonts w:ascii="宋体" w:hAnsi="宋体" w:cs="宋体"/>
          <w:sz w:val="32"/>
          <w:szCs w:val="32"/>
        </w:rPr>
      </w:pPr>
    </w:p>
    <w:p w:rsidR="002E4824" w:rsidRDefault="002E4824">
      <w:pPr>
        <w:jc w:val="left"/>
        <w:rPr>
          <w:rFonts w:ascii="黑体" w:eastAsia="黑体" w:hAnsi="黑体" w:cs="黑体"/>
          <w:sz w:val="32"/>
          <w:szCs w:val="32"/>
        </w:rPr>
        <w:sectPr w:rsidR="002E4824">
          <w:footerReference w:type="even" r:id="rId8"/>
          <w:footerReference w:type="default" r:id="rId9"/>
          <w:pgSz w:w="11906" w:h="16838"/>
          <w:pgMar w:top="1440" w:right="1531" w:bottom="1440" w:left="1587" w:header="850" w:footer="992" w:gutter="0"/>
          <w:pgNumType w:fmt="numberInDash" w:start="1"/>
          <w:cols w:space="720"/>
          <w:docGrid w:type="lines" w:linePitch="317"/>
        </w:sect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9B5BF3">
      <w:pPr>
        <w:widowControl/>
        <w:jc w:val="center"/>
        <w:outlineLvl w:val="0"/>
        <w:rPr>
          <w:rFonts w:ascii="黑体" w:eastAsia="黑体" w:hAnsi="宋体" w:cs="宋体"/>
          <w:kern w:val="0"/>
          <w:sz w:val="28"/>
          <w:szCs w:val="28"/>
        </w:rPr>
      </w:pPr>
      <w:r>
        <w:rPr>
          <w:rFonts w:ascii="黑体" w:eastAsia="黑体" w:hAnsi="黑体" w:cs="黑体" w:hint="eastAsia"/>
          <w:sz w:val="48"/>
          <w:szCs w:val="48"/>
        </w:rPr>
        <w:t xml:space="preserve">第一部分  </w:t>
      </w:r>
      <w:r>
        <w:rPr>
          <w:rFonts w:ascii="黑体" w:eastAsia="黑体" w:hAnsi="黑体" w:cs="黑体" w:hint="eastAsia"/>
          <w:sz w:val="52"/>
          <w:szCs w:val="52"/>
        </w:rPr>
        <w:t>中共项城市委宣传部</w:t>
      </w:r>
      <w:r>
        <w:rPr>
          <w:rFonts w:ascii="黑体" w:eastAsia="黑体" w:hAnsi="黑体" w:cs="黑体" w:hint="eastAsia"/>
          <w:sz w:val="48"/>
          <w:szCs w:val="48"/>
        </w:rPr>
        <w:t>概况</w:t>
      </w: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sectPr w:rsidR="002E4824">
          <w:pgSz w:w="11906" w:h="16838"/>
          <w:pgMar w:top="1440" w:right="1800" w:bottom="1440" w:left="1800" w:header="720" w:footer="720" w:gutter="0"/>
          <w:pgNumType w:fmt="numberInDash"/>
          <w:cols w:space="720"/>
          <w:docGrid w:type="lines" w:linePitch="312"/>
        </w:sectPr>
      </w:pPr>
    </w:p>
    <w:p w:rsidR="002E4824" w:rsidRDefault="009B5BF3">
      <w:pPr>
        <w:widowControl/>
        <w:ind w:firstLineChars="200" w:firstLine="640"/>
        <w:jc w:val="left"/>
        <w:outlineLvl w:val="1"/>
        <w:rPr>
          <w:rFonts w:ascii="黑体" w:eastAsia="黑体" w:hAnsi="黑体" w:cs="黑体"/>
          <w:kern w:val="0"/>
          <w:sz w:val="32"/>
          <w:szCs w:val="32"/>
        </w:rPr>
      </w:pPr>
      <w:r>
        <w:rPr>
          <w:rFonts w:ascii="黑体" w:eastAsia="黑体" w:hAnsi="黑体" w:cs="黑体" w:hint="eastAsia"/>
          <w:kern w:val="0"/>
          <w:sz w:val="32"/>
          <w:szCs w:val="32"/>
        </w:rPr>
        <w:lastRenderedPageBreak/>
        <w:t>一、部门</w:t>
      </w:r>
      <w:r>
        <w:rPr>
          <w:rFonts w:ascii="黑体" w:eastAsia="黑体" w:hAnsi="黑体" w:cs="黑体" w:hint="eastAsia"/>
          <w:bCs/>
          <w:sz w:val="32"/>
          <w:szCs w:val="32"/>
        </w:rPr>
        <w:t>职责</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（一）贯彻落实党中央宣传思想文化工作重大方针政策，拟订全市宣传思想文化事业发展规划，统筹协调推进宣传思想文化领城法治建设，按照市委统一部署，协调宣传思想文化系统各部门之间的工作。</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（二）贯彻落实中央、省委和市委关于意识形态工作的决策部署，统筹协调全市党的意识形态工作，组织协调意识形态工作责任制落实和日常监督检查，结合巡察工作开展专项检查。</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（三）统筹指导协调全市理论研究、理论学习、理论宣传工作，组织推动理论武装工作。统筹指导全市哲学社会科学的规划发展。</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（四）负责规划组织全市思想政治工作，组织全市重大先进典型的选树、宣传、学习，配合市委组织部做好党员教育工作，指导协调编写党员教育教材，会同有关部门研究和改进群众思想教育工作。</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（五）统筹分析研判和引导社会舆论，统筹指导协调全市新闻单位工作，负责在全市新闻单位分支机构等的监督管理。组织全市突发公共事件应急新闻工作。</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（六）拟订全市新闻出版业的管理政策并督促落实，管理新闻出版行政事务，组织协调有关行政审批工作。统筹规划和指导协调新闻出版事业、产业发展，监督管理出版物内</w:t>
      </w:r>
      <w:r>
        <w:rPr>
          <w:rFonts w:ascii="仿宋_GB2312" w:eastAsia="仿宋_GB2312" w:hint="eastAsia"/>
          <w:sz w:val="32"/>
          <w:szCs w:val="32"/>
        </w:rPr>
        <w:lastRenderedPageBreak/>
        <w:t>容和质量，监督管理印刷业，监督管理出版物市场经营活动，监督管理著作权等。组织指导协调全市“扫黄打非”工作。</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（七）统筹指导协调互联网宣传和信息内容管理工作。统筹协调融媒体的建设与管理。</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（八）统筹指导协调推动精神文化产品的创作和生产，协调组织优秀传统文化传承发展有关工作，指导协调推动群众文化建设。</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（九）对新闻出版、广播影视、文化艺术业改革发展研究提出政策性建议，统筹指导协调文化体制改革和文化事业、文化产业及旅游业发展，指导协调国有文化企业监督管理工作。</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（十）统筹指导舆情信息工作，组织协调开展全市舆情信息收集分析研判工作，跟踪了解、研究掌握宣传舆情动态。</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（十一）统筹协调全市对外宣传工作，指导协调有关部门研究拟订对外宣传工作政策措施和对外宣传事业发展规划。指导对外文化交流工作。会同有关部门做好境外媒体记者在我市采访的服务引导工作。</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（十二）统筹协调组织开展新闻发布工作，承担市委新闻发布有关组织协调工作，负责市政府新闻发布组织实施工作，指导协调市政府各部门的新闻发布工作，推动新闻发言人制度建设。</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（十三）贯彻落实党中央关于加强社会主义精神文明建</w:t>
      </w:r>
      <w:r>
        <w:rPr>
          <w:rFonts w:ascii="仿宋_GB2312" w:eastAsia="仿宋_GB2312" w:hint="eastAsia"/>
          <w:sz w:val="32"/>
          <w:szCs w:val="32"/>
        </w:rPr>
        <w:lastRenderedPageBreak/>
        <w:t>设的方针政策和省委、市委有关部署，在项城市精神文明建设指导委员会指导下统筹协调、指导推动全市精神文明建设工作，组织开展全市群众性精神文明创建活动，评选表彰精神文明建设先进典型，总结推广先进经验。</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十四）受市委委托，协同市委组织部管理新闻、文化、出版、社会科学研究和互联网信息等方面市直宣传思想文化单位的领导干部。负责市直宣传思想文化系统股级干部管理。负责组织开展宣传思想文化系统人才工作和干部教育培训。</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（十五）完成市委交办的其他任务。</w:t>
      </w:r>
    </w:p>
    <w:p w:rsidR="002E4824" w:rsidRDefault="009B5BF3">
      <w:pPr>
        <w:widowControl/>
        <w:ind w:firstLineChars="200" w:firstLine="640"/>
        <w:jc w:val="left"/>
        <w:outlineLvl w:val="1"/>
        <w:rPr>
          <w:rFonts w:ascii="黑体" w:eastAsia="黑体" w:hAnsi="黑体" w:cs="黑体"/>
          <w:kern w:val="0"/>
          <w:sz w:val="32"/>
          <w:szCs w:val="32"/>
        </w:rPr>
      </w:pPr>
      <w:r>
        <w:rPr>
          <w:rFonts w:ascii="黑体" w:eastAsia="黑体" w:hAnsi="黑体" w:cs="黑体" w:hint="eastAsia"/>
          <w:kern w:val="0"/>
          <w:sz w:val="32"/>
          <w:szCs w:val="32"/>
        </w:rPr>
        <w:t>二、机构设置</w:t>
      </w:r>
    </w:p>
    <w:p w:rsidR="002E4824" w:rsidRDefault="009B5BF3">
      <w:pPr>
        <w:ind w:firstLineChars="200" w:firstLine="640"/>
        <w:rPr>
          <w:rFonts w:ascii="仿宋_GB2312" w:eastAsia="仿宋_GB2312"/>
          <w:sz w:val="32"/>
          <w:szCs w:val="32"/>
        </w:rPr>
      </w:pPr>
      <w:r>
        <w:rPr>
          <w:rFonts w:ascii="仿宋_GB2312" w:eastAsia="仿宋_GB2312" w:hint="eastAsia"/>
          <w:sz w:val="32"/>
          <w:szCs w:val="32"/>
        </w:rPr>
        <w:t>中共项城市委宣传部</w:t>
      </w:r>
      <w:r>
        <w:rPr>
          <w:rFonts w:ascii="仿宋_GB2312" w:eastAsia="仿宋_GB2312" w:hAnsi="仿宋_GB2312" w:cs="仿宋_GB2312" w:hint="eastAsia"/>
          <w:kern w:val="0"/>
          <w:sz w:val="32"/>
          <w:szCs w:val="32"/>
        </w:rPr>
        <w:t>内设机构11个，包括：</w:t>
      </w:r>
      <w:r>
        <w:rPr>
          <w:rFonts w:ascii="仿宋_GB2312" w:eastAsia="仿宋_GB2312" w:hint="eastAsia"/>
          <w:sz w:val="32"/>
          <w:szCs w:val="32"/>
        </w:rPr>
        <w:t>办公室、理论科、文化艺术科、外宣办(项城市人民政府新闻办公室)、新闻科、宣传科、新闻出版和电影管理科、文化体制改革和文化事业文化产业发展工作办公室、城市精神文明创建科、农村精神文明建设科、思想道德建设科。</w:t>
      </w:r>
    </w:p>
    <w:p w:rsidR="002E4824" w:rsidRDefault="009B5BF3">
      <w:pPr>
        <w:widowControl/>
        <w:shd w:val="clear" w:color="auto" w:fill="FFFFFF"/>
        <w:ind w:firstLine="672"/>
        <w:jc w:val="left"/>
        <w:rPr>
          <w:rFonts w:ascii="仿宋_GB2312" w:eastAsia="仿宋_GB2312" w:hAnsi="宋体" w:cs="宋体"/>
          <w:color w:val="000000"/>
          <w:kern w:val="0"/>
          <w:sz w:val="32"/>
          <w:szCs w:val="32"/>
          <w:shd w:val="clear" w:color="auto" w:fill="FFFFFF"/>
        </w:rPr>
      </w:pPr>
      <w:r>
        <w:rPr>
          <w:rFonts w:ascii="仿宋_GB2312" w:eastAsia="仿宋_GB2312" w:hAnsi="仿宋_GB2312" w:cs="仿宋_GB2312" w:hint="eastAsia"/>
          <w:kern w:val="0"/>
          <w:sz w:val="32"/>
          <w:szCs w:val="32"/>
        </w:rPr>
        <w:t>从决算单位构成看，</w:t>
      </w:r>
      <w:r>
        <w:rPr>
          <w:rFonts w:ascii="仿宋_GB2312" w:eastAsia="仿宋_GB2312" w:hint="eastAsia"/>
          <w:sz w:val="32"/>
          <w:szCs w:val="32"/>
        </w:rPr>
        <w:t>中共</w:t>
      </w:r>
      <w:r>
        <w:rPr>
          <w:rFonts w:ascii="仿宋_GB2312" w:eastAsia="仿宋_GB2312" w:hAnsi="宋体" w:cs="宋体" w:hint="eastAsia"/>
          <w:color w:val="000000"/>
          <w:kern w:val="0"/>
          <w:sz w:val="32"/>
          <w:szCs w:val="32"/>
          <w:shd w:val="clear" w:color="auto" w:fill="FFFFFF"/>
        </w:rPr>
        <w:t>项城市</w:t>
      </w:r>
      <w:r>
        <w:rPr>
          <w:rFonts w:ascii="仿宋_GB2312" w:eastAsia="仿宋_GB2312" w:hint="eastAsia"/>
          <w:sz w:val="32"/>
          <w:szCs w:val="32"/>
        </w:rPr>
        <w:t>委</w:t>
      </w:r>
      <w:r>
        <w:rPr>
          <w:rFonts w:ascii="仿宋_GB2312" w:eastAsia="仿宋_GB2312" w:hAnsi="宋体" w:cs="宋体" w:hint="eastAsia"/>
          <w:color w:val="000000"/>
          <w:kern w:val="0"/>
          <w:sz w:val="32"/>
          <w:szCs w:val="32"/>
          <w:shd w:val="clear" w:color="auto" w:fill="FFFFFF"/>
        </w:rPr>
        <w:t>宣传部</w:t>
      </w:r>
      <w:r>
        <w:rPr>
          <w:rFonts w:ascii="仿宋_GB2312" w:eastAsia="仿宋_GB2312" w:hAnsi="仿宋_GB2312" w:cs="仿宋_GB2312" w:hint="eastAsia"/>
          <w:kern w:val="0"/>
          <w:sz w:val="32"/>
          <w:szCs w:val="32"/>
        </w:rPr>
        <w:t>部门决算包括：本级决算。</w:t>
      </w:r>
    </w:p>
    <w:p w:rsidR="002E4824" w:rsidRDefault="009B5BF3">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纳入本部门2019年度部门决算编制范围的单位共1个，其中二级预算单位0个，具体是：</w:t>
      </w:r>
    </w:p>
    <w:p w:rsidR="002E4824" w:rsidRDefault="009B5BF3">
      <w:pPr>
        <w:widowControl/>
        <w:ind w:firstLineChars="200" w:firstLine="640"/>
        <w:jc w:val="left"/>
        <w:rPr>
          <w:rFonts w:ascii="仿宋_GB2312" w:eastAsia="仿宋_GB2312" w:hAnsi="仿宋_GB2312" w:cs="仿宋_GB2312"/>
          <w:kern w:val="0"/>
          <w:sz w:val="32"/>
          <w:szCs w:val="32"/>
        </w:rPr>
      </w:pPr>
      <w:r>
        <w:rPr>
          <w:rFonts w:ascii="仿宋_GB2312" w:eastAsia="仿宋_GB2312" w:hAnsi="仿宋_GB2312" w:cs="仿宋_GB2312" w:hint="eastAsia"/>
          <w:kern w:val="0"/>
          <w:sz w:val="32"/>
          <w:szCs w:val="32"/>
        </w:rPr>
        <w:t>1.</w:t>
      </w:r>
      <w:r>
        <w:rPr>
          <w:rFonts w:ascii="仿宋_GB2312" w:eastAsia="仿宋_GB2312" w:hint="eastAsia"/>
          <w:sz w:val="32"/>
          <w:szCs w:val="32"/>
        </w:rPr>
        <w:t xml:space="preserve"> 中共</w:t>
      </w:r>
      <w:r>
        <w:rPr>
          <w:rFonts w:ascii="仿宋_GB2312" w:eastAsia="仿宋_GB2312" w:hAnsi="宋体" w:cs="宋体" w:hint="eastAsia"/>
          <w:color w:val="000000"/>
          <w:kern w:val="0"/>
          <w:sz w:val="32"/>
          <w:szCs w:val="32"/>
          <w:shd w:val="clear" w:color="auto" w:fill="FFFFFF"/>
        </w:rPr>
        <w:t>项城市</w:t>
      </w:r>
      <w:r>
        <w:rPr>
          <w:rFonts w:ascii="仿宋_GB2312" w:eastAsia="仿宋_GB2312" w:hint="eastAsia"/>
          <w:sz w:val="32"/>
          <w:szCs w:val="32"/>
        </w:rPr>
        <w:t>委</w:t>
      </w:r>
      <w:r>
        <w:rPr>
          <w:rFonts w:ascii="仿宋_GB2312" w:eastAsia="仿宋_GB2312" w:hAnsi="宋体" w:cs="宋体" w:hint="eastAsia"/>
          <w:color w:val="000000"/>
          <w:kern w:val="0"/>
          <w:sz w:val="32"/>
          <w:szCs w:val="32"/>
          <w:shd w:val="clear" w:color="auto" w:fill="FFFFFF"/>
        </w:rPr>
        <w:t>宣传部</w:t>
      </w:r>
      <w:r>
        <w:rPr>
          <w:rFonts w:ascii="仿宋_GB2312" w:eastAsia="仿宋_GB2312" w:hAnsi="仿宋_GB2312" w:cs="仿宋_GB2312" w:hint="eastAsia"/>
          <w:kern w:val="0"/>
          <w:sz w:val="32"/>
          <w:szCs w:val="32"/>
        </w:rPr>
        <w:t>本级</w:t>
      </w:r>
    </w:p>
    <w:p w:rsidR="002E4824" w:rsidRDefault="002E4824">
      <w:pPr>
        <w:ind w:firstLineChars="200" w:firstLine="640"/>
        <w:rPr>
          <w:rFonts w:ascii="仿宋_GB2312" w:eastAsia="仿宋_GB2312"/>
          <w:sz w:val="32"/>
          <w:szCs w:val="32"/>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pPr>
    </w:p>
    <w:p w:rsidR="002E4824" w:rsidRDefault="009B5BF3">
      <w:pPr>
        <w:jc w:val="center"/>
        <w:outlineLvl w:val="0"/>
        <w:rPr>
          <w:rFonts w:ascii="黑体" w:eastAsia="黑体" w:hAnsi="黑体" w:cs="黑体"/>
          <w:sz w:val="48"/>
          <w:szCs w:val="48"/>
        </w:rPr>
      </w:pPr>
      <w:r>
        <w:rPr>
          <w:rFonts w:ascii="黑体" w:eastAsia="黑体" w:hAnsi="黑体" w:cs="黑体" w:hint="eastAsia"/>
          <w:sz w:val="48"/>
          <w:szCs w:val="48"/>
        </w:rPr>
        <w:t>第二部分  2019年度部门决算表</w:t>
      </w:r>
    </w:p>
    <w:p w:rsidR="002E4824" w:rsidRDefault="002E4824">
      <w:pPr>
        <w:widowControl/>
        <w:jc w:val="left"/>
        <w:rPr>
          <w:rFonts w:ascii="黑体" w:eastAsia="黑体" w:hAnsi="宋体" w:cs="宋体"/>
          <w:kern w:val="0"/>
          <w:sz w:val="28"/>
          <w:szCs w:val="28"/>
        </w:rPr>
      </w:pPr>
    </w:p>
    <w:p w:rsidR="002E4824" w:rsidRDefault="002E4824">
      <w:pPr>
        <w:widowControl/>
        <w:jc w:val="left"/>
        <w:rPr>
          <w:rFonts w:ascii="黑体" w:eastAsia="黑体" w:hAnsi="宋体" w:cs="宋体"/>
          <w:kern w:val="0"/>
          <w:sz w:val="28"/>
          <w:szCs w:val="28"/>
        </w:rPr>
        <w:sectPr w:rsidR="002E4824">
          <w:pgSz w:w="11906" w:h="16838"/>
          <w:pgMar w:top="1440" w:right="1800" w:bottom="1440" w:left="1800" w:header="720" w:footer="720" w:gutter="0"/>
          <w:pgNumType w:fmt="numberInDash"/>
          <w:cols w:space="720"/>
          <w:docGrid w:type="lines" w:linePitch="312"/>
        </w:sectPr>
      </w:pPr>
    </w:p>
    <w:tbl>
      <w:tblPr>
        <w:tblW w:w="14070" w:type="dxa"/>
        <w:tblCellMar>
          <w:left w:w="0" w:type="dxa"/>
          <w:right w:w="0" w:type="dxa"/>
        </w:tblCellMar>
        <w:tblLook w:val="04A0"/>
      </w:tblPr>
      <w:tblGrid>
        <w:gridCol w:w="4215"/>
        <w:gridCol w:w="570"/>
        <w:gridCol w:w="1113"/>
        <w:gridCol w:w="5352"/>
        <w:gridCol w:w="570"/>
        <w:gridCol w:w="2250"/>
      </w:tblGrid>
      <w:tr w:rsidR="002E4824">
        <w:trPr>
          <w:trHeight w:val="390"/>
        </w:trPr>
        <w:tc>
          <w:tcPr>
            <w:tcW w:w="4215"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57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6465"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9B5BF3">
            <w:pPr>
              <w:ind w:firstLineChars="600" w:firstLine="1800"/>
              <w:rPr>
                <w:rFonts w:ascii="Arial" w:hAnsi="Arial" w:cs="Arial"/>
                <w:color w:val="000000"/>
                <w:sz w:val="20"/>
                <w:szCs w:val="20"/>
              </w:rPr>
            </w:pPr>
            <w:r>
              <w:rPr>
                <w:rFonts w:ascii="宋体" w:hAnsi="宋体" w:cs="宋体" w:hint="eastAsia"/>
                <w:color w:val="000000"/>
                <w:kern w:val="0"/>
                <w:sz w:val="30"/>
                <w:szCs w:val="30"/>
              </w:rPr>
              <w:t>收入支出决算总表</w:t>
            </w:r>
          </w:p>
        </w:tc>
        <w:tc>
          <w:tcPr>
            <w:tcW w:w="57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225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公开01表</w:t>
            </w: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部门：中共项城市委宣传部</w:t>
            </w: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2E4824">
        <w:trPr>
          <w:trHeight w:val="308"/>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收入</w:t>
            </w:r>
          </w:p>
        </w:tc>
        <w:tc>
          <w:tcPr>
            <w:tcW w:w="0" w:type="auto"/>
            <w:gridSpan w:val="3"/>
            <w:tcBorders>
              <w:top w:val="single" w:sz="4" w:space="0" w:color="000000"/>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支出</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行次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金额</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行次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金额</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一、一般公共预算财政拨款收入</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411.37</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二、政府性基金预算财政拨款收入</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三、上级补助收入</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四、事业收入</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五、经营收入</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六、附属单位上缴收入</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七、其他收入</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七、文化旅游体育与传媒支出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八、社会保障和就业支出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15.02</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九、卫生健康支出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十、节能环保支出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十一、城乡社区支出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十二、农林水支出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十三、交通运输支出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十四、资源勘探信息等支出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十五、商业服务业等支出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十六、金融支出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十七、援助其他地区支出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十八、自然资源海洋气象等支出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十九、住房保障支出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二十、粮油物资储备支出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二十一、灾害防治及应急管理支出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二十二、其他支出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本年收入合计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本年支出合计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438.61</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用事业基金弥补收支差额</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结余分配</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212.68</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FFFFFF" w:themeColor="background1"/>
                <w:sz w:val="20"/>
                <w:szCs w:val="20"/>
              </w:rPr>
            </w:pPr>
            <w:r>
              <w:rPr>
                <w:rFonts w:ascii="宋体" w:hAnsi="宋体" w:cs="宋体" w:hint="eastAsia"/>
                <w:color w:val="000000"/>
                <w:kern w:val="0"/>
                <w:sz w:val="20"/>
                <w:szCs w:val="20"/>
              </w:rPr>
              <w:t>651.29</w:t>
            </w:r>
          </w:p>
        </w:tc>
      </w:tr>
      <w:tr w:rsidR="002E4824">
        <w:trPr>
          <w:trHeight w:val="308"/>
        </w:trPr>
        <w:tc>
          <w:tcPr>
            <w:tcW w:w="0" w:type="auto"/>
            <w:gridSpan w:val="6"/>
            <w:tcBorders>
              <w:top w:val="nil"/>
              <w:left w:val="nil"/>
              <w:bottom w:val="nil"/>
              <w:right w:val="nil"/>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注：本表反映部门本年度的总收支和年末结转结余情况。本表金额转换为万元时，因四舍五入可能存在尾差。</w:t>
            </w:r>
          </w:p>
        </w:tc>
      </w:tr>
    </w:tbl>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tbl>
      <w:tblPr>
        <w:tblW w:w="0" w:type="auto"/>
        <w:tblCellMar>
          <w:left w:w="0" w:type="dxa"/>
          <w:right w:w="0" w:type="dxa"/>
        </w:tblCellMar>
        <w:tblLook w:val="04A0"/>
      </w:tblPr>
      <w:tblGrid>
        <w:gridCol w:w="2430"/>
        <w:gridCol w:w="36"/>
        <w:gridCol w:w="36"/>
        <w:gridCol w:w="3430"/>
        <w:gridCol w:w="1230"/>
        <w:gridCol w:w="1230"/>
        <w:gridCol w:w="1230"/>
        <w:gridCol w:w="830"/>
        <w:gridCol w:w="830"/>
        <w:gridCol w:w="1630"/>
        <w:gridCol w:w="1430"/>
      </w:tblGrid>
      <w:tr w:rsidR="002E4824">
        <w:trPr>
          <w:trHeight w:val="390"/>
        </w:trPr>
        <w:tc>
          <w:tcPr>
            <w:tcW w:w="0" w:type="auto"/>
            <w:gridSpan w:val="11"/>
            <w:tcBorders>
              <w:top w:val="nil"/>
              <w:left w:val="nil"/>
              <w:bottom w:val="nil"/>
              <w:right w:val="nil"/>
            </w:tcBorders>
            <w:shd w:val="clear" w:color="auto" w:fill="auto"/>
            <w:noWrap/>
            <w:tcMar>
              <w:top w:w="15" w:type="dxa"/>
              <w:left w:w="15" w:type="dxa"/>
              <w:right w:w="15" w:type="dxa"/>
            </w:tcMar>
            <w:vAlign w:val="bottom"/>
          </w:tcPr>
          <w:p w:rsidR="002E4824" w:rsidRDefault="009B5BF3">
            <w:pPr>
              <w:jc w:val="center"/>
              <w:rPr>
                <w:rFonts w:ascii="Arial" w:hAnsi="Arial" w:cs="Arial"/>
                <w:color w:val="000000"/>
                <w:sz w:val="20"/>
                <w:szCs w:val="20"/>
              </w:rPr>
            </w:pPr>
            <w:r>
              <w:rPr>
                <w:rFonts w:ascii="宋体" w:hAnsi="宋体" w:cs="宋体" w:hint="eastAsia"/>
                <w:color w:val="000000"/>
                <w:kern w:val="0"/>
                <w:sz w:val="30"/>
                <w:szCs w:val="30"/>
              </w:rPr>
              <w:lastRenderedPageBreak/>
              <w:t>收入决算表</w:t>
            </w: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公开02表</w:t>
            </w: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部门：中共项城市委宣传部</w:t>
            </w: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2E4824">
        <w:trPr>
          <w:trHeight w:val="308"/>
        </w:trPr>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本年收入合计</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财政拨款收入</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上级补助收入</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事业收入</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经营收入</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附属单位上缴收入</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其他收入</w:t>
            </w:r>
          </w:p>
        </w:tc>
      </w:tr>
      <w:tr w:rsidR="002E4824">
        <w:trPr>
          <w:trHeight w:val="312"/>
        </w:trPr>
        <w:tc>
          <w:tcPr>
            <w:tcW w:w="0" w:type="auto"/>
            <w:gridSpan w:val="3"/>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0" w:type="auto"/>
            <w:vMerge w:val="restart"/>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12"/>
        </w:trPr>
        <w:tc>
          <w:tcPr>
            <w:tcW w:w="0" w:type="auto"/>
            <w:gridSpan w:val="3"/>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12"/>
        </w:trPr>
        <w:tc>
          <w:tcPr>
            <w:tcW w:w="0" w:type="auto"/>
            <w:gridSpan w:val="3"/>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08"/>
        </w:trPr>
        <w:tc>
          <w:tcPr>
            <w:tcW w:w="0" w:type="auto"/>
            <w:gridSpan w:val="4"/>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r>
      <w:tr w:rsidR="002E4824">
        <w:trPr>
          <w:trHeight w:val="308"/>
        </w:trPr>
        <w:tc>
          <w:tcPr>
            <w:tcW w:w="0" w:type="auto"/>
            <w:gridSpan w:val="4"/>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一般公共服务支出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622.32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622.32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党委办公厅（室）及相关机构事务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23.00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23.00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行政运行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23.00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23.00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宣传事务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599.32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599.32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行政运行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100.89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100.89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一般行政管理事务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388.43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388.43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其他宣传事务支出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110.00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110.00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社会保障和就业支出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15.38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15.38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行政事业单位离退休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14.66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14.66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2080501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归口管理的行政单位离退休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2080505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机关事业单位基本养老保险缴费支出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14.58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14.58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其他社会保障和就业支出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0.72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0.72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2089901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其他社会保障和就业支出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0.72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0.72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卫生健康支出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5.64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5.64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21011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行政事业单位医疗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5.64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5.64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lastRenderedPageBreak/>
              <w:t>2101101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行政单位医疗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5.50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5.50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2101199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其他行政事业单位医疗支出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住房保障支出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22102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住房改革支出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2210201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住房公积金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注：本表反映部门本年度取得的各项收入情况。本表金额转换为万元时，因四舍五入可能存在尾差。</w:t>
            </w:r>
          </w:p>
        </w:tc>
      </w:tr>
      <w:tr w:rsidR="002E4824">
        <w:trPr>
          <w:trHeight w:val="308"/>
        </w:trPr>
        <w:tc>
          <w:tcPr>
            <w:tcW w:w="0" w:type="auto"/>
            <w:gridSpan w:val="11"/>
            <w:tcBorders>
              <w:top w:val="nil"/>
              <w:left w:val="nil"/>
              <w:bottom w:val="nil"/>
              <w:right w:val="nil"/>
            </w:tcBorders>
            <w:shd w:val="clear" w:color="auto" w:fill="auto"/>
            <w:noWrap/>
            <w:tcMar>
              <w:top w:w="15" w:type="dxa"/>
              <w:left w:w="15" w:type="dxa"/>
              <w:right w:w="15" w:type="dxa"/>
            </w:tcMar>
            <w:vAlign w:val="center"/>
          </w:tcPr>
          <w:p w:rsidR="002E4824" w:rsidRDefault="002E4824">
            <w:pPr>
              <w:widowControl/>
              <w:jc w:val="left"/>
              <w:textAlignment w:val="center"/>
              <w:rPr>
                <w:rFonts w:ascii="宋体" w:hAnsi="宋体" w:cs="宋体"/>
                <w:color w:val="000000"/>
                <w:kern w:val="0"/>
                <w:sz w:val="22"/>
              </w:rPr>
            </w:pPr>
          </w:p>
        </w:tc>
      </w:tr>
    </w:tbl>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tbl>
      <w:tblPr>
        <w:tblW w:w="15059" w:type="dxa"/>
        <w:tblLayout w:type="fixed"/>
        <w:tblCellMar>
          <w:left w:w="0" w:type="dxa"/>
          <w:right w:w="0" w:type="dxa"/>
        </w:tblCellMar>
        <w:tblLook w:val="04A0"/>
      </w:tblPr>
      <w:tblGrid>
        <w:gridCol w:w="2709"/>
        <w:gridCol w:w="50"/>
        <w:gridCol w:w="50"/>
        <w:gridCol w:w="3670"/>
        <w:gridCol w:w="100"/>
        <w:gridCol w:w="1310"/>
        <w:gridCol w:w="100"/>
        <w:gridCol w:w="1310"/>
        <w:gridCol w:w="100"/>
        <w:gridCol w:w="1310"/>
        <w:gridCol w:w="100"/>
        <w:gridCol w:w="1310"/>
        <w:gridCol w:w="100"/>
        <w:gridCol w:w="1310"/>
        <w:gridCol w:w="100"/>
        <w:gridCol w:w="1330"/>
        <w:gridCol w:w="100"/>
      </w:tblGrid>
      <w:tr w:rsidR="002E4824">
        <w:trPr>
          <w:trHeight w:val="390"/>
        </w:trPr>
        <w:tc>
          <w:tcPr>
            <w:tcW w:w="2709"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377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2820" w:type="dxa"/>
            <w:gridSpan w:val="4"/>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center"/>
              <w:textAlignment w:val="bottom"/>
              <w:rPr>
                <w:rFonts w:ascii="宋体" w:hAnsi="宋体" w:cs="宋体"/>
                <w:color w:val="000000"/>
                <w:sz w:val="30"/>
                <w:szCs w:val="30"/>
              </w:rPr>
            </w:pPr>
            <w:r>
              <w:rPr>
                <w:rFonts w:ascii="宋体" w:hAnsi="宋体" w:cs="宋体" w:hint="eastAsia"/>
                <w:color w:val="000000"/>
                <w:kern w:val="0"/>
                <w:sz w:val="30"/>
                <w:szCs w:val="30"/>
              </w:rPr>
              <w:t>支出决算表</w:t>
            </w: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3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r>
      <w:tr w:rsidR="002E4824">
        <w:trPr>
          <w:trHeight w:val="255"/>
        </w:trPr>
        <w:tc>
          <w:tcPr>
            <w:tcW w:w="2709"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377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3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公开03表</w:t>
            </w:r>
          </w:p>
        </w:tc>
      </w:tr>
      <w:tr w:rsidR="002E4824">
        <w:trPr>
          <w:trHeight w:val="255"/>
        </w:trPr>
        <w:tc>
          <w:tcPr>
            <w:tcW w:w="2709" w:type="dxa"/>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部门：中共项城市委宣传部</w:t>
            </w:r>
          </w:p>
        </w:tc>
        <w:tc>
          <w:tcPr>
            <w:tcW w:w="5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5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377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1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43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2E4824">
        <w:trPr>
          <w:gridAfter w:val="1"/>
          <w:wAfter w:w="100" w:type="dxa"/>
          <w:trHeight w:val="308"/>
        </w:trPr>
        <w:tc>
          <w:tcPr>
            <w:tcW w:w="6479" w:type="dxa"/>
            <w:gridSpan w:val="4"/>
            <w:tcBorders>
              <w:top w:val="single" w:sz="4" w:space="0" w:color="000000"/>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1410" w:type="dxa"/>
            <w:gridSpan w:val="2"/>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本年支出合计</w:t>
            </w:r>
          </w:p>
        </w:tc>
        <w:tc>
          <w:tcPr>
            <w:tcW w:w="1410" w:type="dxa"/>
            <w:gridSpan w:val="2"/>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基本支出</w:t>
            </w:r>
          </w:p>
        </w:tc>
        <w:tc>
          <w:tcPr>
            <w:tcW w:w="1410" w:type="dxa"/>
            <w:gridSpan w:val="2"/>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项目支出</w:t>
            </w:r>
          </w:p>
        </w:tc>
        <w:tc>
          <w:tcPr>
            <w:tcW w:w="1410" w:type="dxa"/>
            <w:gridSpan w:val="2"/>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上缴上级支出</w:t>
            </w:r>
          </w:p>
        </w:tc>
        <w:tc>
          <w:tcPr>
            <w:tcW w:w="1410" w:type="dxa"/>
            <w:gridSpan w:val="2"/>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经营支出</w:t>
            </w:r>
          </w:p>
        </w:tc>
        <w:tc>
          <w:tcPr>
            <w:tcW w:w="1430" w:type="dxa"/>
            <w:gridSpan w:val="2"/>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对附属单位补助支出</w:t>
            </w:r>
          </w:p>
        </w:tc>
      </w:tr>
      <w:tr w:rsidR="002E4824">
        <w:trPr>
          <w:gridAfter w:val="1"/>
          <w:wAfter w:w="100" w:type="dxa"/>
          <w:trHeight w:val="312"/>
        </w:trPr>
        <w:tc>
          <w:tcPr>
            <w:tcW w:w="2709" w:type="dxa"/>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3770" w:type="dxa"/>
            <w:gridSpan w:val="3"/>
            <w:vMerge w:val="restart"/>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3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gridAfter w:val="1"/>
          <w:wAfter w:w="100" w:type="dxa"/>
          <w:trHeight w:val="312"/>
        </w:trPr>
        <w:tc>
          <w:tcPr>
            <w:tcW w:w="2709"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3770" w:type="dxa"/>
            <w:gridSpan w:val="3"/>
            <w:vMerge/>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3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gridAfter w:val="1"/>
          <w:wAfter w:w="100" w:type="dxa"/>
          <w:trHeight w:val="312"/>
        </w:trPr>
        <w:tc>
          <w:tcPr>
            <w:tcW w:w="2709"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3770" w:type="dxa"/>
            <w:gridSpan w:val="3"/>
            <w:vMerge/>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1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430" w:type="dxa"/>
            <w:gridSpan w:val="2"/>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gridAfter w:val="1"/>
          <w:wAfter w:w="100" w:type="dxa"/>
          <w:trHeight w:val="308"/>
        </w:trPr>
        <w:tc>
          <w:tcPr>
            <w:tcW w:w="6479" w:type="dxa"/>
            <w:gridSpan w:val="4"/>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1410" w:type="dxa"/>
            <w:gridSpan w:val="2"/>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1410" w:type="dxa"/>
            <w:gridSpan w:val="2"/>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1410" w:type="dxa"/>
            <w:gridSpan w:val="2"/>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1410" w:type="dxa"/>
            <w:gridSpan w:val="2"/>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1410" w:type="dxa"/>
            <w:gridSpan w:val="2"/>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1430" w:type="dxa"/>
            <w:gridSpan w:val="2"/>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r>
      <w:tr w:rsidR="002E4824">
        <w:trPr>
          <w:gridAfter w:val="1"/>
          <w:wAfter w:w="100" w:type="dxa"/>
          <w:trHeight w:val="308"/>
        </w:trPr>
        <w:tc>
          <w:tcPr>
            <w:tcW w:w="6479" w:type="dxa"/>
            <w:gridSpan w:val="4"/>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438.61</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146.87</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291.74</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w:t>
            </w:r>
          </w:p>
        </w:tc>
        <w:tc>
          <w:tcPr>
            <w:tcW w:w="3770" w:type="dxa"/>
            <w:gridSpan w:val="3"/>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一般公共服务支出</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411.37</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119.63</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291.74</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20131</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党委办公厅（室）及相关机构事务</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21.01</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21.01</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2013101</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行政运行</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21.01</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21.01</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宣传事务</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390.36</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98.62</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291.74</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2013301</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行政运行</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97.76</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97.76</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2013302</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一般行政管理事务</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291.74</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291.74</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2013399</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其他宣传事务支出</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0.86</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0.86</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社会保障和就业支出</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15.02</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15.02</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20805</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行政事业单位离退休</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14.39</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14.39</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2080505</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机关事业单位基本养老保险缴费支出</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14.39</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14.39</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20899</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其他社会保障和就业支出</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0.63</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0.63</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2089901</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其他社会保障和就业支出</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0.63</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0.63</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210</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卫生健康支出</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21011</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行政事业单位医疗</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2101101</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行政单位医疗</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4.14</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4.14</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lastRenderedPageBreak/>
              <w:t>2101199</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其他行政事业单位医疗支出</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0.14</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0.14</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221</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住房保障支出</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22102</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住房改革支出</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2709"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2210201</w:t>
            </w:r>
          </w:p>
        </w:tc>
        <w:tc>
          <w:tcPr>
            <w:tcW w:w="3770"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住房公积金</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1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1430" w:type="dxa"/>
            <w:gridSpan w:val="2"/>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gridAfter w:val="1"/>
          <w:wAfter w:w="100" w:type="dxa"/>
          <w:trHeight w:val="308"/>
        </w:trPr>
        <w:tc>
          <w:tcPr>
            <w:tcW w:w="14959" w:type="dxa"/>
            <w:gridSpan w:val="16"/>
            <w:tcBorders>
              <w:top w:val="nil"/>
              <w:left w:val="nil"/>
              <w:bottom w:val="nil"/>
              <w:right w:val="nil"/>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注：本表反映部门本年度各项支出情况。本表金额转换为万元时，因四舍五入可能存在尾差。</w:t>
            </w:r>
          </w:p>
        </w:tc>
      </w:tr>
    </w:tbl>
    <w:p w:rsidR="002E4824" w:rsidRDefault="002E4824">
      <w:pPr>
        <w:rPr>
          <w:sz w:val="20"/>
          <w:szCs w:val="20"/>
        </w:rPr>
      </w:pPr>
    </w:p>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p w:rsidR="002E4824" w:rsidRDefault="002E4824"/>
    <w:tbl>
      <w:tblPr>
        <w:tblW w:w="14790" w:type="dxa"/>
        <w:tblCellMar>
          <w:left w:w="0" w:type="dxa"/>
          <w:right w:w="0" w:type="dxa"/>
        </w:tblCellMar>
        <w:tblLook w:val="04A0"/>
      </w:tblPr>
      <w:tblGrid>
        <w:gridCol w:w="3270"/>
        <w:gridCol w:w="570"/>
        <w:gridCol w:w="1680"/>
        <w:gridCol w:w="3660"/>
        <w:gridCol w:w="570"/>
        <w:gridCol w:w="1680"/>
        <w:gridCol w:w="1680"/>
        <w:gridCol w:w="1680"/>
      </w:tblGrid>
      <w:tr w:rsidR="002E4824">
        <w:trPr>
          <w:trHeight w:val="390"/>
        </w:trPr>
        <w:tc>
          <w:tcPr>
            <w:tcW w:w="327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57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68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3660" w:type="dxa"/>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center"/>
              <w:textAlignment w:val="bottom"/>
              <w:rPr>
                <w:rFonts w:ascii="宋体" w:hAnsi="宋体" w:cs="宋体"/>
                <w:color w:val="000000"/>
                <w:sz w:val="30"/>
                <w:szCs w:val="30"/>
              </w:rPr>
            </w:pPr>
            <w:r>
              <w:rPr>
                <w:rFonts w:ascii="宋体" w:hAnsi="宋体" w:cs="宋体" w:hint="eastAsia"/>
                <w:color w:val="000000"/>
                <w:kern w:val="0"/>
                <w:sz w:val="30"/>
                <w:szCs w:val="30"/>
              </w:rPr>
              <w:t>财政拨款收入支出决算总表</w:t>
            </w:r>
          </w:p>
        </w:tc>
        <w:tc>
          <w:tcPr>
            <w:tcW w:w="57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68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68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68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公开04表</w:t>
            </w: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部门：中共项城市委宣传部</w:t>
            </w: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2E4824">
        <w:trPr>
          <w:trHeight w:val="308"/>
        </w:trPr>
        <w:tc>
          <w:tcPr>
            <w:tcW w:w="0" w:type="auto"/>
            <w:gridSpan w:val="3"/>
            <w:tcBorders>
              <w:top w:val="single" w:sz="4" w:space="0" w:color="000000"/>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收     入</w:t>
            </w:r>
          </w:p>
        </w:tc>
        <w:tc>
          <w:tcPr>
            <w:tcW w:w="0" w:type="auto"/>
            <w:gridSpan w:val="5"/>
            <w:tcBorders>
              <w:top w:val="single" w:sz="4" w:space="0" w:color="000000"/>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支     出</w:t>
            </w:r>
          </w:p>
        </w:tc>
      </w:tr>
      <w:tr w:rsidR="002E4824">
        <w:trPr>
          <w:trHeight w:val="312"/>
        </w:trPr>
        <w:tc>
          <w:tcPr>
            <w:tcW w:w="3270" w:type="dxa"/>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57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行次</w:t>
            </w:r>
          </w:p>
        </w:tc>
        <w:tc>
          <w:tcPr>
            <w:tcW w:w="168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金额</w:t>
            </w:r>
          </w:p>
        </w:tc>
        <w:tc>
          <w:tcPr>
            <w:tcW w:w="366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57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行次</w:t>
            </w:r>
          </w:p>
        </w:tc>
        <w:tc>
          <w:tcPr>
            <w:tcW w:w="0" w:type="auto"/>
            <w:vMerge w:val="restart"/>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168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一般公共预算财政拨款</w:t>
            </w:r>
          </w:p>
        </w:tc>
        <w:tc>
          <w:tcPr>
            <w:tcW w:w="168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政府性基金预算财政拨款</w:t>
            </w:r>
          </w:p>
        </w:tc>
      </w:tr>
      <w:tr w:rsidR="002E4824">
        <w:trPr>
          <w:trHeight w:val="615"/>
        </w:trPr>
        <w:tc>
          <w:tcPr>
            <w:tcW w:w="3270"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57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68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366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57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68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168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一、一般公共预算财政拨款</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一、一般公共服务支出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411.37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411.37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二、政府性基金预算财政拨款</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二、外交支出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三、国防支出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四、公共安全支出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五、教育支出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六、科学技术支出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七、文化旅游体育与传媒支出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八、社会保障和就业支出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15.02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15.02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九、卫生健康支出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十、节能环保支出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十一、城乡社区支出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十二、农林水支出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十三、交通运输支出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十四、资源勘探信息等支出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十五、商业服务业等支出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十六、金融支出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十七、援助其他地区支出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十八、自然资源海洋气象等支出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十九、住房保障支出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二十、粮油物资储备支出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二十一、灾害防治及应急管理支出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二十二、其他支出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本年收入合计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本年支出合计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438.61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438.61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年初财政拨款结转和结余</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年末财政拨款结转和结余</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212.68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212.68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一、一般公共预算财政拨款</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二、政府性基金预算财政拨款</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56</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b/>
                <w:color w:val="000000"/>
                <w:sz w:val="20"/>
                <w:szCs w:val="20"/>
              </w:rPr>
            </w:pPr>
            <w:r>
              <w:rPr>
                <w:rFonts w:ascii="宋体" w:hAnsi="宋体" w:cs="宋体" w:hint="eastAsia"/>
                <w:b/>
                <w:color w:val="000000"/>
                <w:kern w:val="0"/>
                <w:sz w:val="20"/>
                <w:szCs w:val="20"/>
              </w:rPr>
              <w:t>总计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58</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651.29</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8"/>
            <w:tcBorders>
              <w:top w:val="nil"/>
              <w:left w:val="nil"/>
              <w:bottom w:val="nil"/>
              <w:right w:val="nil"/>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注：本表反映部门本年度一般公共预算财政拨款和政府性基金预算财政拨款的总收支和年末结转结余情况。本表金额转换为万元时，因四舍五入可能存在尾差。</w:t>
            </w:r>
          </w:p>
        </w:tc>
      </w:tr>
    </w:tbl>
    <w:p w:rsidR="002E4824" w:rsidRDefault="002E4824">
      <w:pPr>
        <w:rPr>
          <w:sz w:val="20"/>
          <w:szCs w:val="20"/>
        </w:rPr>
      </w:pPr>
    </w:p>
    <w:p w:rsidR="002E4824" w:rsidRDefault="002E4824"/>
    <w:p w:rsidR="002E4824" w:rsidRDefault="002E4824">
      <w:pPr>
        <w:widowControl/>
        <w:jc w:val="left"/>
        <w:rPr>
          <w:rFonts w:ascii="黑体" w:eastAsia="黑体" w:hAnsi="宋体" w:cs="宋体"/>
          <w:kern w:val="0"/>
          <w:sz w:val="28"/>
          <w:szCs w:val="2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tbl>
      <w:tblPr>
        <w:tblW w:w="14770" w:type="dxa"/>
        <w:tblCellMar>
          <w:left w:w="0" w:type="dxa"/>
          <w:right w:w="0" w:type="dxa"/>
        </w:tblCellMar>
        <w:tblLook w:val="04A0"/>
      </w:tblPr>
      <w:tblGrid>
        <w:gridCol w:w="3430"/>
        <w:gridCol w:w="330"/>
        <w:gridCol w:w="330"/>
        <w:gridCol w:w="4350"/>
        <w:gridCol w:w="1830"/>
        <w:gridCol w:w="2250"/>
        <w:gridCol w:w="2250"/>
      </w:tblGrid>
      <w:tr w:rsidR="002E4824">
        <w:trPr>
          <w:trHeight w:val="390"/>
        </w:trPr>
        <w:tc>
          <w:tcPr>
            <w:tcW w:w="343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33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33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6180"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center"/>
              <w:textAlignment w:val="bottom"/>
              <w:rPr>
                <w:rFonts w:ascii="宋体" w:hAnsi="宋体" w:cs="宋体"/>
                <w:color w:val="000000"/>
                <w:sz w:val="30"/>
                <w:szCs w:val="30"/>
              </w:rPr>
            </w:pPr>
            <w:r>
              <w:rPr>
                <w:rFonts w:ascii="宋体" w:hAnsi="宋体" w:cs="宋体" w:hint="eastAsia"/>
                <w:color w:val="000000"/>
                <w:kern w:val="0"/>
                <w:sz w:val="30"/>
                <w:szCs w:val="30"/>
              </w:rPr>
              <w:t>一般公共预算财政拨款支出决算表</w:t>
            </w:r>
          </w:p>
        </w:tc>
        <w:tc>
          <w:tcPr>
            <w:tcW w:w="225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225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公开05表</w:t>
            </w: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部门：中共项城市委宣传部</w:t>
            </w: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2E4824">
        <w:trPr>
          <w:trHeight w:val="308"/>
        </w:trPr>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6750" w:type="dxa"/>
            <w:gridSpan w:val="3"/>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w:t>
            </w:r>
          </w:p>
        </w:tc>
      </w:tr>
      <w:tr w:rsidR="002E4824">
        <w:trPr>
          <w:trHeight w:val="312"/>
        </w:trPr>
        <w:tc>
          <w:tcPr>
            <w:tcW w:w="4090" w:type="dxa"/>
            <w:gridSpan w:val="3"/>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0" w:type="auto"/>
            <w:vMerge w:val="restart"/>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225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小计</w:t>
            </w:r>
          </w:p>
        </w:tc>
        <w:tc>
          <w:tcPr>
            <w:tcW w:w="225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基本支出</w:t>
            </w:r>
          </w:p>
        </w:tc>
        <w:tc>
          <w:tcPr>
            <w:tcW w:w="225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项目支出</w:t>
            </w:r>
          </w:p>
        </w:tc>
      </w:tr>
      <w:tr w:rsidR="002E4824">
        <w:trPr>
          <w:trHeight w:val="312"/>
        </w:trPr>
        <w:tc>
          <w:tcPr>
            <w:tcW w:w="4090" w:type="dxa"/>
            <w:gridSpan w:val="3"/>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22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22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22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12"/>
        </w:trPr>
        <w:tc>
          <w:tcPr>
            <w:tcW w:w="4090" w:type="dxa"/>
            <w:gridSpan w:val="3"/>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22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22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225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08"/>
        </w:trPr>
        <w:tc>
          <w:tcPr>
            <w:tcW w:w="0" w:type="auto"/>
            <w:gridSpan w:val="4"/>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r>
      <w:tr w:rsidR="002E4824">
        <w:trPr>
          <w:trHeight w:val="308"/>
        </w:trPr>
        <w:tc>
          <w:tcPr>
            <w:tcW w:w="0" w:type="auto"/>
            <w:gridSpan w:val="4"/>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438.61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146.87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b/>
                <w:color w:val="000000"/>
                <w:sz w:val="20"/>
                <w:szCs w:val="20"/>
              </w:rPr>
            </w:pPr>
            <w:r>
              <w:rPr>
                <w:rFonts w:ascii="宋体" w:hAnsi="宋体" w:cs="宋体" w:hint="eastAsia"/>
                <w:b/>
                <w:color w:val="000000"/>
                <w:kern w:val="0"/>
                <w:sz w:val="20"/>
                <w:szCs w:val="20"/>
              </w:rPr>
              <w:t>291.74</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一般公共服务支出</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411.37</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119.63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291.74</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党委办公厅（室）及相关机构事务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行政运行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宣传事务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390.36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98.62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291.74</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行政运行</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97.76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97.76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一般行政管理事务</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291.74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291.74</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2013399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其他宣传事务支出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0.86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0.86</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社会保障和就业支出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15.02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行政事业单位离退休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14.39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14.39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2080505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机关事业单位基本养老保险缴费支出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14.39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14.39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其他社会保障和就业支出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2089901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其他社会保障和就业支出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0.63</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210</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卫生健康支出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21011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行政事业单位医疗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4.28</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2101101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行政单位医疗</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4.14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lastRenderedPageBreak/>
              <w:t>2101199</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其他行政事业单位医疗支出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0.14</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221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住房保障支出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22102</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住房改革支出</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2210201</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 xml:space="preserve">  住房公积金</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7.95</w:t>
            </w: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r>
      <w:tr w:rsidR="002E4824">
        <w:trPr>
          <w:trHeight w:val="308"/>
        </w:trPr>
        <w:tc>
          <w:tcPr>
            <w:tcW w:w="0" w:type="auto"/>
            <w:gridSpan w:val="7"/>
            <w:tcBorders>
              <w:top w:val="nil"/>
              <w:left w:val="nil"/>
              <w:bottom w:val="nil"/>
              <w:right w:val="nil"/>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注：本表反映部门本年度一般公共预算财政拨款支出情况。本表金额转换为万元时，因四舍五入可能存在尾差。</w:t>
            </w:r>
          </w:p>
        </w:tc>
      </w:tr>
    </w:tbl>
    <w:p w:rsidR="002E4824" w:rsidRDefault="002E4824">
      <w:pP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p w:rsidR="002E4824" w:rsidRDefault="002E4824">
      <w:pPr>
        <w:outlineLvl w:val="0"/>
        <w:rPr>
          <w:rFonts w:ascii="黑体" w:eastAsia="黑体" w:hAnsi="黑体" w:cs="黑体"/>
          <w:sz w:val="48"/>
          <w:szCs w:val="48"/>
        </w:rPr>
      </w:pPr>
    </w:p>
    <w:tbl>
      <w:tblPr>
        <w:tblW w:w="0" w:type="auto"/>
        <w:tblLayout w:type="fixed"/>
        <w:tblCellMar>
          <w:left w:w="0" w:type="dxa"/>
          <w:right w:w="0" w:type="dxa"/>
        </w:tblCellMar>
        <w:tblLook w:val="04A0"/>
      </w:tblPr>
      <w:tblGrid>
        <w:gridCol w:w="1716"/>
        <w:gridCol w:w="3095"/>
        <w:gridCol w:w="874"/>
        <w:gridCol w:w="940"/>
        <w:gridCol w:w="2073"/>
        <w:gridCol w:w="762"/>
        <w:gridCol w:w="1187"/>
        <w:gridCol w:w="3082"/>
        <w:gridCol w:w="1200"/>
      </w:tblGrid>
      <w:tr w:rsidR="002E4824">
        <w:trPr>
          <w:trHeight w:val="390"/>
        </w:trPr>
        <w:tc>
          <w:tcPr>
            <w:tcW w:w="1716"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2013" w:type="dxa"/>
            <w:gridSpan w:val="7"/>
            <w:tcBorders>
              <w:top w:val="nil"/>
              <w:left w:val="nil"/>
              <w:bottom w:val="nil"/>
              <w:right w:val="nil"/>
            </w:tcBorders>
            <w:shd w:val="clear" w:color="auto" w:fill="auto"/>
            <w:noWrap/>
            <w:tcMar>
              <w:top w:w="15" w:type="dxa"/>
              <w:left w:w="15" w:type="dxa"/>
              <w:right w:w="15" w:type="dxa"/>
            </w:tcMar>
            <w:vAlign w:val="bottom"/>
          </w:tcPr>
          <w:p w:rsidR="002E4824" w:rsidRDefault="009B5BF3">
            <w:pPr>
              <w:ind w:firstLineChars="950" w:firstLine="2850"/>
              <w:rPr>
                <w:rFonts w:ascii="Arial" w:hAnsi="Arial" w:cs="Arial"/>
                <w:color w:val="000000"/>
                <w:sz w:val="20"/>
                <w:szCs w:val="20"/>
              </w:rPr>
            </w:pPr>
            <w:r>
              <w:rPr>
                <w:rFonts w:ascii="宋体" w:hAnsi="宋体" w:cs="宋体" w:hint="eastAsia"/>
                <w:color w:val="000000"/>
                <w:kern w:val="0"/>
                <w:sz w:val="30"/>
                <w:szCs w:val="30"/>
              </w:rPr>
              <w:t>一般公共预算财政拨款基本支出决算表</w:t>
            </w:r>
          </w:p>
        </w:tc>
        <w:tc>
          <w:tcPr>
            <w:tcW w:w="120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r>
      <w:tr w:rsidR="002E4824">
        <w:trPr>
          <w:trHeight w:val="255"/>
        </w:trPr>
        <w:tc>
          <w:tcPr>
            <w:tcW w:w="1716"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3095"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874"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94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2073"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762"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187"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3082"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200" w:type="dxa"/>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18"/>
                <w:szCs w:val="18"/>
              </w:rPr>
            </w:pPr>
            <w:r>
              <w:rPr>
                <w:rFonts w:ascii="宋体" w:hAnsi="宋体" w:cs="宋体" w:hint="eastAsia"/>
                <w:color w:val="000000"/>
                <w:kern w:val="0"/>
                <w:sz w:val="18"/>
                <w:szCs w:val="18"/>
              </w:rPr>
              <w:t>公开06表</w:t>
            </w:r>
          </w:p>
        </w:tc>
      </w:tr>
      <w:tr w:rsidR="002E4824">
        <w:trPr>
          <w:trHeight w:val="255"/>
        </w:trPr>
        <w:tc>
          <w:tcPr>
            <w:tcW w:w="4811" w:type="dxa"/>
            <w:gridSpan w:val="2"/>
            <w:tcBorders>
              <w:top w:val="nil"/>
              <w:left w:val="nil"/>
              <w:bottom w:val="nil"/>
              <w:right w:val="nil"/>
            </w:tcBorders>
            <w:shd w:val="clear" w:color="auto" w:fill="auto"/>
            <w:noWrap/>
            <w:tcMar>
              <w:top w:w="15" w:type="dxa"/>
              <w:left w:w="15" w:type="dxa"/>
              <w:right w:w="15" w:type="dxa"/>
            </w:tcMar>
            <w:vAlign w:val="bottom"/>
          </w:tcPr>
          <w:p w:rsidR="002E4824" w:rsidRDefault="009B5BF3">
            <w:pPr>
              <w:rPr>
                <w:rFonts w:ascii="Arial" w:hAnsi="Arial" w:cs="Arial"/>
                <w:color w:val="000000"/>
                <w:sz w:val="20"/>
                <w:szCs w:val="20"/>
              </w:rPr>
            </w:pPr>
            <w:r>
              <w:rPr>
                <w:rFonts w:ascii="宋体" w:hAnsi="宋体" w:cs="宋体" w:hint="eastAsia"/>
                <w:color w:val="000000"/>
                <w:kern w:val="0"/>
                <w:sz w:val="20"/>
                <w:szCs w:val="20"/>
              </w:rPr>
              <w:t>部门：中共项城市委宣传部</w:t>
            </w:r>
          </w:p>
        </w:tc>
        <w:tc>
          <w:tcPr>
            <w:tcW w:w="874"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94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2073"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762"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187"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3082"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1200" w:type="dxa"/>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18"/>
                <w:szCs w:val="18"/>
              </w:rPr>
            </w:pPr>
            <w:r>
              <w:rPr>
                <w:rFonts w:ascii="宋体" w:hAnsi="宋体" w:cs="宋体" w:hint="eastAsia"/>
                <w:color w:val="000000"/>
                <w:kern w:val="0"/>
                <w:sz w:val="18"/>
                <w:szCs w:val="18"/>
              </w:rPr>
              <w:t>金额单位：万元</w:t>
            </w:r>
          </w:p>
        </w:tc>
      </w:tr>
      <w:tr w:rsidR="002E4824">
        <w:trPr>
          <w:trHeight w:val="308"/>
        </w:trPr>
        <w:tc>
          <w:tcPr>
            <w:tcW w:w="5685" w:type="dxa"/>
            <w:gridSpan w:val="3"/>
            <w:tcBorders>
              <w:top w:val="single" w:sz="4" w:space="0" w:color="000000"/>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人员经费</w:t>
            </w:r>
          </w:p>
        </w:tc>
        <w:tc>
          <w:tcPr>
            <w:tcW w:w="9244" w:type="dxa"/>
            <w:gridSpan w:val="6"/>
            <w:tcBorders>
              <w:top w:val="single" w:sz="4" w:space="0" w:color="000000"/>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公用经费</w:t>
            </w:r>
          </w:p>
        </w:tc>
      </w:tr>
      <w:tr w:rsidR="002E4824">
        <w:trPr>
          <w:trHeight w:val="312"/>
        </w:trPr>
        <w:tc>
          <w:tcPr>
            <w:tcW w:w="1716" w:type="dxa"/>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科目编码</w:t>
            </w:r>
          </w:p>
        </w:tc>
        <w:tc>
          <w:tcPr>
            <w:tcW w:w="3095"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科目名称</w:t>
            </w:r>
          </w:p>
        </w:tc>
        <w:tc>
          <w:tcPr>
            <w:tcW w:w="874"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决算数</w:t>
            </w:r>
          </w:p>
        </w:tc>
        <w:tc>
          <w:tcPr>
            <w:tcW w:w="94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科目编码</w:t>
            </w:r>
          </w:p>
        </w:tc>
        <w:tc>
          <w:tcPr>
            <w:tcW w:w="2073"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科目名称</w:t>
            </w:r>
          </w:p>
        </w:tc>
        <w:tc>
          <w:tcPr>
            <w:tcW w:w="762"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决算数</w:t>
            </w:r>
          </w:p>
        </w:tc>
        <w:tc>
          <w:tcPr>
            <w:tcW w:w="1187"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科目编码</w:t>
            </w:r>
          </w:p>
        </w:tc>
        <w:tc>
          <w:tcPr>
            <w:tcW w:w="3082"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科目名称</w:t>
            </w:r>
          </w:p>
        </w:tc>
        <w:tc>
          <w:tcPr>
            <w:tcW w:w="1200"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决算数</w:t>
            </w:r>
          </w:p>
        </w:tc>
      </w:tr>
      <w:tr w:rsidR="002E4824">
        <w:trPr>
          <w:trHeight w:val="312"/>
        </w:trPr>
        <w:tc>
          <w:tcPr>
            <w:tcW w:w="1716"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shd w:val="clear" w:color="auto" w:fill="FFFFFF" w:themeFill="background1"/>
              </w:rPr>
            </w:pPr>
          </w:p>
        </w:tc>
        <w:tc>
          <w:tcPr>
            <w:tcW w:w="3095"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shd w:val="clear" w:color="auto" w:fill="FFFFFF" w:themeFill="background1"/>
              </w:rPr>
            </w:pPr>
          </w:p>
        </w:tc>
        <w:tc>
          <w:tcPr>
            <w:tcW w:w="874"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shd w:val="clear" w:color="auto" w:fill="FFFFFF" w:themeFill="background1"/>
              </w:rPr>
            </w:pPr>
          </w:p>
        </w:tc>
        <w:tc>
          <w:tcPr>
            <w:tcW w:w="94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shd w:val="clear" w:color="auto" w:fill="FFFFFF" w:themeFill="background1"/>
              </w:rPr>
            </w:pPr>
          </w:p>
        </w:tc>
        <w:tc>
          <w:tcPr>
            <w:tcW w:w="2073"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shd w:val="clear" w:color="auto" w:fill="FFFFFF" w:themeFill="background1"/>
              </w:rPr>
            </w:pPr>
          </w:p>
        </w:tc>
        <w:tc>
          <w:tcPr>
            <w:tcW w:w="762"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shd w:val="clear" w:color="auto" w:fill="FFFFFF" w:themeFill="background1"/>
              </w:rPr>
            </w:pPr>
          </w:p>
        </w:tc>
        <w:tc>
          <w:tcPr>
            <w:tcW w:w="1187"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shd w:val="clear" w:color="auto" w:fill="FFFFFF" w:themeFill="background1"/>
              </w:rPr>
            </w:pPr>
          </w:p>
        </w:tc>
        <w:tc>
          <w:tcPr>
            <w:tcW w:w="3082"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shd w:val="clear" w:color="auto" w:fill="FFFFFF" w:themeFill="background1"/>
              </w:rPr>
            </w:pPr>
          </w:p>
        </w:tc>
        <w:tc>
          <w:tcPr>
            <w:tcW w:w="1200"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shd w:val="clear" w:color="auto" w:fill="FFFFFF" w:themeFill="background1"/>
              </w:rPr>
            </w:pP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工资福利支出</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125.00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商品和服务支出</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21.87</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307</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债务利息及费用支出</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30101</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基本工资</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92.27</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30201</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办公费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21.87</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30701</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国内债务付息</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30102</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津贴补贴</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30202</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印刷费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30702</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国外债务付息</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30103</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奖金</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5.49</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30203</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咨询费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资本性支出</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30106</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伙食补助费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30204</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手续费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31001</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房屋建筑物购建</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30107</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绩效工资</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30205</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水费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31002</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办公设备购置</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30108</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机关事业单位基本养老保险缴费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14.39</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30206</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电费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31003</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专用设备购置</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30109</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职业年金缴费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30207</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邮电费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31005</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基础设施建设</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30110</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职工基本医疗保险缴费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4.14</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30208</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取暖费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31006</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大型修缮</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30111</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公务员医疗补助缴费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30209</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物业管理费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31007</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信息网络及软件购置更新</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30112</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其他社会保障缴费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0.77</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30211</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差旅费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31008</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物资储备</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30113</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住房公积金</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7.95</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30212</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因公出国（境）费用</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31009</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土地补偿</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30114</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医疗费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30213</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维修（护）费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31010</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安置补助</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30199</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其他工资福利支出</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30214</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租赁费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31011</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地上附着物和青苗补偿</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对个人和家庭的补助</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30215</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会议费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31012</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拆迁补偿</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30301</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离休费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30216</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培训费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31013</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公务用车购置</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30302</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退休费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30217</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公务接待费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31019</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其他交通工具购置</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30303</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退职（役）费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30218</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专用材料费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31021</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文物和陈列品购置</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lastRenderedPageBreak/>
              <w:t>30304</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抚恤金</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30224</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被装购置费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31022</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无形资产购置</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30305</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生活补助</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30225</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专用燃料费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31099</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其他资本性支出</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30306</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救济费</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30226</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劳务费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399</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其他支出</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30307</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医疗费补助</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30227</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委托业务费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39906</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赠与</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30308</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助学金</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30228</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工会经费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39907</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国家赔偿费用支出</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30309</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奖励金</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30229</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福利费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39908</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对民间非营利组织和群众性自治组织补贴</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30310</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个人农业生产补贴</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30231</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公务用车运行维护费</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39999</w:t>
            </w: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其他支出</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30399</w:t>
            </w: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其他对个人和家庭的补助</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30239</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其他交通费用</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shd w:val="clear" w:color="auto" w:fill="FFFFFF" w:themeFill="background1"/>
              </w:rPr>
            </w:pP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shd w:val="clear" w:color="auto" w:fill="FFFFFF" w:themeFill="background1"/>
              </w:rPr>
            </w:pP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30240</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税金及附加费用</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shd w:val="clear" w:color="auto" w:fill="FFFFFF" w:themeFill="background1"/>
              </w:rPr>
            </w:pPr>
          </w:p>
        </w:tc>
      </w:tr>
      <w:tr w:rsidR="002E4824">
        <w:trPr>
          <w:trHeight w:val="308"/>
        </w:trPr>
        <w:tc>
          <w:tcPr>
            <w:tcW w:w="1716"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3095"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shd w:val="clear" w:color="auto" w:fill="FFFFFF" w:themeFill="background1"/>
              </w:rPr>
            </w:pPr>
          </w:p>
        </w:tc>
        <w:tc>
          <w:tcPr>
            <w:tcW w:w="94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30299</w:t>
            </w:r>
          </w:p>
        </w:tc>
        <w:tc>
          <w:tcPr>
            <w:tcW w:w="2073"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 xml:space="preserve">  其他商品和服务支出</w:t>
            </w:r>
          </w:p>
        </w:tc>
        <w:tc>
          <w:tcPr>
            <w:tcW w:w="76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0.00</w:t>
            </w:r>
          </w:p>
        </w:tc>
        <w:tc>
          <w:tcPr>
            <w:tcW w:w="1187"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3082"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left"/>
              <w:rPr>
                <w:rFonts w:ascii="宋体" w:hAnsi="宋体" w:cs="宋体"/>
                <w:color w:val="000000"/>
                <w:sz w:val="20"/>
                <w:szCs w:val="20"/>
                <w:shd w:val="clear" w:color="auto" w:fill="FFFFFF" w:themeFill="background1"/>
              </w:rPr>
            </w:pP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right"/>
              <w:rPr>
                <w:rFonts w:ascii="宋体" w:hAnsi="宋体" w:cs="宋体"/>
                <w:color w:val="000000"/>
                <w:sz w:val="20"/>
                <w:szCs w:val="20"/>
                <w:shd w:val="clear" w:color="auto" w:fill="FFFFFF" w:themeFill="background1"/>
              </w:rPr>
            </w:pPr>
          </w:p>
        </w:tc>
      </w:tr>
      <w:tr w:rsidR="002E4824">
        <w:trPr>
          <w:trHeight w:val="308"/>
        </w:trPr>
        <w:tc>
          <w:tcPr>
            <w:tcW w:w="4811" w:type="dxa"/>
            <w:gridSpan w:val="2"/>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人员经费合计</w:t>
            </w:r>
          </w:p>
        </w:tc>
        <w:tc>
          <w:tcPr>
            <w:tcW w:w="874"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125.00</w:t>
            </w:r>
          </w:p>
        </w:tc>
        <w:tc>
          <w:tcPr>
            <w:tcW w:w="8044" w:type="dxa"/>
            <w:gridSpan w:val="5"/>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公用经费合计</w:t>
            </w:r>
          </w:p>
        </w:tc>
        <w:tc>
          <w:tcPr>
            <w:tcW w:w="1200"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21.87</w:t>
            </w:r>
          </w:p>
        </w:tc>
      </w:tr>
      <w:tr w:rsidR="002E4824">
        <w:trPr>
          <w:trHeight w:val="308"/>
        </w:trPr>
        <w:tc>
          <w:tcPr>
            <w:tcW w:w="14929" w:type="dxa"/>
            <w:gridSpan w:val="9"/>
            <w:tcBorders>
              <w:top w:val="nil"/>
              <w:left w:val="nil"/>
              <w:bottom w:val="nil"/>
              <w:right w:val="nil"/>
            </w:tcBorders>
            <w:shd w:val="clear" w:color="auto" w:fill="FFFFFF" w:themeFill="background1"/>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shd w:val="clear" w:color="auto" w:fill="FFFFFF" w:themeFill="background1"/>
              </w:rPr>
            </w:pPr>
            <w:r>
              <w:rPr>
                <w:rFonts w:ascii="宋体" w:hAnsi="宋体" w:cs="宋体" w:hint="eastAsia"/>
                <w:color w:val="000000"/>
                <w:kern w:val="0"/>
                <w:sz w:val="20"/>
                <w:szCs w:val="20"/>
                <w:shd w:val="clear" w:color="auto" w:fill="FFFFFF" w:themeFill="background1"/>
              </w:rPr>
              <w:t>注：本表反映部门本年度一般公共预算财政拨款基本支出明细情况。</w:t>
            </w:r>
            <w:r>
              <w:rPr>
                <w:rFonts w:ascii="宋体" w:hAnsi="宋体" w:cs="宋体" w:hint="eastAsia"/>
                <w:color w:val="000000"/>
                <w:kern w:val="0"/>
                <w:sz w:val="20"/>
                <w:szCs w:val="20"/>
              </w:rPr>
              <w:t>本表金额转换为万元时，因四舍五入可能存在尾差。</w:t>
            </w:r>
          </w:p>
        </w:tc>
      </w:tr>
    </w:tbl>
    <w:p w:rsidR="002E4824" w:rsidRDefault="002E4824">
      <w:pPr>
        <w:outlineLvl w:val="0"/>
        <w:rPr>
          <w:rFonts w:ascii="黑体" w:eastAsia="黑体" w:hAnsi="黑体" w:cs="黑体"/>
          <w:sz w:val="20"/>
          <w:szCs w:val="20"/>
          <w:shd w:val="clear" w:color="auto" w:fill="FFFFFF" w:themeFill="background1"/>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tbl>
      <w:tblPr>
        <w:tblW w:w="0" w:type="auto"/>
        <w:tblCellMar>
          <w:left w:w="0" w:type="dxa"/>
          <w:right w:w="0" w:type="dxa"/>
        </w:tblCellMar>
        <w:tblLook w:val="04A0"/>
      </w:tblPr>
      <w:tblGrid>
        <w:gridCol w:w="3430"/>
        <w:gridCol w:w="1630"/>
        <w:gridCol w:w="430"/>
        <w:gridCol w:w="1430"/>
        <w:gridCol w:w="1358"/>
        <w:gridCol w:w="1030"/>
        <w:gridCol w:w="470"/>
        <w:gridCol w:w="1526"/>
        <w:gridCol w:w="430"/>
        <w:gridCol w:w="1180"/>
        <w:gridCol w:w="1137"/>
        <w:gridCol w:w="1430"/>
      </w:tblGrid>
      <w:tr w:rsidR="002E4824">
        <w:trPr>
          <w:trHeight w:val="540"/>
        </w:trPr>
        <w:tc>
          <w:tcPr>
            <w:tcW w:w="15366" w:type="dxa"/>
            <w:gridSpan w:val="12"/>
            <w:tcBorders>
              <w:top w:val="nil"/>
              <w:left w:val="nil"/>
              <w:bottom w:val="nil"/>
              <w:right w:val="nil"/>
            </w:tcBorders>
            <w:shd w:val="clear" w:color="auto" w:fill="auto"/>
            <w:noWrap/>
            <w:tcMar>
              <w:top w:w="15" w:type="dxa"/>
              <w:left w:w="15" w:type="dxa"/>
              <w:right w:w="15" w:type="dxa"/>
            </w:tcMar>
            <w:vAlign w:val="bottom"/>
          </w:tcPr>
          <w:p w:rsidR="002E4824" w:rsidRDefault="009B5BF3">
            <w:pPr>
              <w:jc w:val="center"/>
              <w:rPr>
                <w:rFonts w:ascii="Arial" w:hAnsi="Arial" w:cs="Arial"/>
                <w:color w:val="000000"/>
                <w:sz w:val="30"/>
                <w:szCs w:val="30"/>
              </w:rPr>
            </w:pPr>
            <w:r>
              <w:rPr>
                <w:rFonts w:ascii="宋体" w:hAnsi="宋体" w:cs="宋体" w:hint="eastAsia"/>
                <w:color w:val="000000"/>
                <w:kern w:val="0"/>
                <w:sz w:val="30"/>
                <w:szCs w:val="30"/>
              </w:rPr>
              <w:lastRenderedPageBreak/>
              <w:t>一般公共预算财政拨款“三公”经费支出决算表</w:t>
            </w:r>
          </w:p>
        </w:tc>
      </w:tr>
      <w:tr w:rsidR="002E4824">
        <w:trPr>
          <w:trHeight w:val="255"/>
        </w:trPr>
        <w:tc>
          <w:tcPr>
            <w:tcW w:w="3430"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公开07表</w:t>
            </w:r>
          </w:p>
        </w:tc>
      </w:tr>
      <w:tr w:rsidR="002E4824">
        <w:trPr>
          <w:trHeight w:val="255"/>
        </w:trPr>
        <w:tc>
          <w:tcPr>
            <w:tcW w:w="3430" w:type="dxa"/>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部门：中共项城市委宣传部</w:t>
            </w: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2E4824">
        <w:trPr>
          <w:trHeight w:val="308"/>
        </w:trPr>
        <w:tc>
          <w:tcPr>
            <w:tcW w:w="8819" w:type="dxa"/>
            <w:gridSpan w:val="6"/>
            <w:tcBorders>
              <w:top w:val="single" w:sz="4" w:space="0" w:color="000000"/>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预算数</w:t>
            </w:r>
          </w:p>
        </w:tc>
        <w:tc>
          <w:tcPr>
            <w:tcW w:w="0" w:type="auto"/>
            <w:gridSpan w:val="6"/>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决算数</w:t>
            </w:r>
          </w:p>
        </w:tc>
      </w:tr>
      <w:tr w:rsidR="002E4824">
        <w:trPr>
          <w:trHeight w:val="308"/>
        </w:trPr>
        <w:tc>
          <w:tcPr>
            <w:tcW w:w="3430" w:type="dxa"/>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0" w:type="auto"/>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因公出国（境）费</w:t>
            </w:r>
          </w:p>
        </w:tc>
        <w:tc>
          <w:tcPr>
            <w:tcW w:w="0" w:type="auto"/>
            <w:gridSpan w:val="3"/>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公务用车购置及运行费</w:t>
            </w:r>
          </w:p>
        </w:tc>
        <w:tc>
          <w:tcPr>
            <w:tcW w:w="0" w:type="auto"/>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公务接待费</w:t>
            </w:r>
          </w:p>
        </w:tc>
        <w:tc>
          <w:tcPr>
            <w:tcW w:w="0" w:type="auto"/>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2"/>
              </w:rPr>
            </w:pPr>
            <w:r>
              <w:rPr>
                <w:rFonts w:ascii="宋体" w:hAnsi="宋体" w:cs="宋体" w:hint="eastAsia"/>
                <w:color w:val="000000"/>
                <w:kern w:val="0"/>
                <w:sz w:val="22"/>
              </w:rPr>
              <w:t>合计</w:t>
            </w:r>
          </w:p>
        </w:tc>
        <w:tc>
          <w:tcPr>
            <w:tcW w:w="0" w:type="auto"/>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因公出国（境）费</w:t>
            </w:r>
          </w:p>
        </w:tc>
        <w:tc>
          <w:tcPr>
            <w:tcW w:w="0" w:type="auto"/>
            <w:gridSpan w:val="3"/>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公务用车购置及运行费</w:t>
            </w:r>
          </w:p>
        </w:tc>
        <w:tc>
          <w:tcPr>
            <w:tcW w:w="0" w:type="auto"/>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公务接待费</w:t>
            </w:r>
          </w:p>
        </w:tc>
      </w:tr>
      <w:tr w:rsidR="002E4824">
        <w:trPr>
          <w:trHeight w:val="615"/>
        </w:trPr>
        <w:tc>
          <w:tcPr>
            <w:tcW w:w="3430" w:type="dxa"/>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小计</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公务用车购置费</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公务用车运行费</w:t>
            </w:r>
          </w:p>
        </w:tc>
        <w:tc>
          <w:tcPr>
            <w:tcW w:w="0" w:type="auto"/>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2"/>
              </w:rPr>
            </w:pPr>
          </w:p>
        </w:tc>
        <w:tc>
          <w:tcPr>
            <w:tcW w:w="0" w:type="auto"/>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小计</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公务用车购置费</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公务用车运行费</w:t>
            </w:r>
          </w:p>
        </w:tc>
        <w:tc>
          <w:tcPr>
            <w:tcW w:w="0" w:type="auto"/>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08"/>
        </w:trPr>
        <w:tc>
          <w:tcPr>
            <w:tcW w:w="3430" w:type="dxa"/>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2"/>
              </w:rPr>
            </w:pPr>
            <w:r>
              <w:rPr>
                <w:rFonts w:ascii="宋体" w:hAnsi="宋体" w:cs="宋体" w:hint="eastAsia"/>
                <w:color w:val="000000"/>
                <w:kern w:val="0"/>
                <w:sz w:val="22"/>
              </w:rPr>
              <w:t>1</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2"/>
              </w:rPr>
            </w:pPr>
            <w:r>
              <w:rPr>
                <w:rFonts w:ascii="宋体" w:hAnsi="宋体" w:cs="宋体" w:hint="eastAsia"/>
                <w:color w:val="000000"/>
                <w:kern w:val="0"/>
                <w:sz w:val="22"/>
              </w:rPr>
              <w:t>7</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8</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9</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10</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11</w:t>
            </w:r>
          </w:p>
        </w:tc>
        <w:tc>
          <w:tcPr>
            <w:tcW w:w="0" w:type="auto"/>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12</w:t>
            </w:r>
          </w:p>
        </w:tc>
      </w:tr>
      <w:tr w:rsidR="002E4824">
        <w:trPr>
          <w:trHeight w:val="308"/>
        </w:trPr>
        <w:tc>
          <w:tcPr>
            <w:tcW w:w="3430" w:type="dxa"/>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2"/>
              </w:rPr>
            </w:pPr>
            <w:r>
              <w:rPr>
                <w:rFonts w:ascii="宋体" w:hAnsi="宋体" w:cs="宋体" w:hint="eastAsia"/>
                <w:color w:val="000000"/>
                <w:kern w:val="0"/>
                <w:sz w:val="22"/>
              </w:rPr>
              <w:t>0.50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0.50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2"/>
              </w:rPr>
            </w:pPr>
            <w:r>
              <w:rPr>
                <w:rFonts w:ascii="宋体" w:hAnsi="宋体" w:cs="宋体" w:hint="eastAsia"/>
                <w:color w:val="000000"/>
                <w:kern w:val="0"/>
                <w:sz w:val="22"/>
              </w:rPr>
              <w:t>0.50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0.00</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right"/>
              <w:textAlignment w:val="center"/>
              <w:rPr>
                <w:rFonts w:ascii="宋体" w:hAnsi="宋体" w:cs="宋体"/>
                <w:color w:val="000000"/>
                <w:sz w:val="20"/>
                <w:szCs w:val="20"/>
              </w:rPr>
            </w:pPr>
            <w:r>
              <w:rPr>
                <w:rFonts w:ascii="宋体" w:hAnsi="宋体" w:cs="宋体" w:hint="eastAsia"/>
                <w:color w:val="000000"/>
                <w:kern w:val="0"/>
                <w:sz w:val="20"/>
                <w:szCs w:val="20"/>
              </w:rPr>
              <w:t>0.50</w:t>
            </w:r>
          </w:p>
        </w:tc>
      </w:tr>
      <w:tr w:rsidR="002E4824">
        <w:trPr>
          <w:trHeight w:val="615"/>
        </w:trPr>
        <w:tc>
          <w:tcPr>
            <w:tcW w:w="15366" w:type="dxa"/>
            <w:gridSpan w:val="12"/>
            <w:tcBorders>
              <w:top w:val="nil"/>
              <w:left w:val="nil"/>
              <w:bottom w:val="nil"/>
              <w:right w:val="nil"/>
            </w:tcBorders>
            <w:shd w:val="clear" w:color="auto" w:fill="auto"/>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三公”经费支出预决算情况。其中：预算数为“三公”经费全年预算数，反映按规定程序调整后的预算数；决算数是包括当年一般公共预算财政拨款和以前年度结转资金安排的实际支出。本表金额转换为万元时，因四舍五入可能存在尾差。</w:t>
            </w:r>
          </w:p>
        </w:tc>
      </w:tr>
    </w:tbl>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tbl>
      <w:tblPr>
        <w:tblW w:w="0" w:type="auto"/>
        <w:tblCellMar>
          <w:left w:w="0" w:type="dxa"/>
          <w:right w:w="0" w:type="dxa"/>
        </w:tblCellMar>
        <w:tblLook w:val="04A0"/>
      </w:tblPr>
      <w:tblGrid>
        <w:gridCol w:w="2430"/>
        <w:gridCol w:w="36"/>
        <w:gridCol w:w="36"/>
        <w:gridCol w:w="830"/>
        <w:gridCol w:w="1430"/>
        <w:gridCol w:w="5430"/>
        <w:gridCol w:w="738"/>
        <w:gridCol w:w="830"/>
        <w:gridCol w:w="830"/>
        <w:gridCol w:w="1430"/>
      </w:tblGrid>
      <w:tr w:rsidR="002E4824">
        <w:trPr>
          <w:trHeight w:val="390"/>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center"/>
              <w:textAlignment w:val="bottom"/>
              <w:rPr>
                <w:rFonts w:ascii="宋体" w:hAnsi="宋体" w:cs="宋体"/>
                <w:color w:val="000000"/>
                <w:sz w:val="30"/>
                <w:szCs w:val="30"/>
              </w:rPr>
            </w:pPr>
            <w:r>
              <w:rPr>
                <w:rFonts w:ascii="宋体" w:hAnsi="宋体" w:cs="宋体" w:hint="eastAsia"/>
                <w:color w:val="000000"/>
                <w:kern w:val="0"/>
                <w:sz w:val="30"/>
                <w:szCs w:val="30"/>
              </w:rPr>
              <w:t>政府性基金预算财政拨款收入支出决算表</w:t>
            </w:r>
          </w:p>
        </w:tc>
        <w:tc>
          <w:tcPr>
            <w:tcW w:w="738"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738"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公开08表</w:t>
            </w:r>
          </w:p>
        </w:tc>
      </w:tr>
      <w:tr w:rsidR="002E4824">
        <w:trPr>
          <w:trHeight w:val="255"/>
        </w:trPr>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left"/>
              <w:textAlignment w:val="bottom"/>
              <w:rPr>
                <w:rFonts w:ascii="宋体" w:hAnsi="宋体" w:cs="宋体"/>
                <w:color w:val="000000"/>
                <w:sz w:val="20"/>
                <w:szCs w:val="20"/>
              </w:rPr>
            </w:pPr>
            <w:r>
              <w:rPr>
                <w:rFonts w:ascii="宋体" w:hAnsi="宋体" w:cs="宋体" w:hint="eastAsia"/>
                <w:color w:val="000000"/>
                <w:kern w:val="0"/>
                <w:sz w:val="20"/>
                <w:szCs w:val="20"/>
              </w:rPr>
              <w:t>部门：中共项城市委宣传部</w:t>
            </w: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738" w:type="dxa"/>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2E4824">
            <w:pPr>
              <w:rPr>
                <w:rFonts w:ascii="Arial" w:hAnsi="Arial" w:cs="Arial"/>
                <w:color w:val="000000"/>
                <w:sz w:val="20"/>
                <w:szCs w:val="20"/>
              </w:rPr>
            </w:pPr>
          </w:p>
        </w:tc>
        <w:tc>
          <w:tcPr>
            <w:tcW w:w="0" w:type="auto"/>
            <w:tcBorders>
              <w:top w:val="nil"/>
              <w:left w:val="nil"/>
              <w:bottom w:val="nil"/>
              <w:right w:val="nil"/>
            </w:tcBorders>
            <w:shd w:val="clear" w:color="auto" w:fill="auto"/>
            <w:noWrap/>
            <w:tcMar>
              <w:top w:w="15" w:type="dxa"/>
              <w:left w:w="15" w:type="dxa"/>
              <w:right w:w="15" w:type="dxa"/>
            </w:tcMar>
            <w:vAlign w:val="bottom"/>
          </w:tcPr>
          <w:p w:rsidR="002E4824" w:rsidRDefault="009B5BF3">
            <w:pPr>
              <w:widowControl/>
              <w:jc w:val="right"/>
              <w:textAlignment w:val="bottom"/>
              <w:rPr>
                <w:rFonts w:ascii="宋体" w:hAnsi="宋体" w:cs="宋体"/>
                <w:color w:val="000000"/>
                <w:sz w:val="20"/>
                <w:szCs w:val="20"/>
              </w:rPr>
            </w:pPr>
            <w:r>
              <w:rPr>
                <w:rFonts w:ascii="宋体" w:hAnsi="宋体" w:cs="宋体" w:hint="eastAsia"/>
                <w:color w:val="000000"/>
                <w:kern w:val="0"/>
                <w:sz w:val="20"/>
                <w:szCs w:val="20"/>
              </w:rPr>
              <w:t>金额单位：万元</w:t>
            </w:r>
          </w:p>
        </w:tc>
      </w:tr>
      <w:tr w:rsidR="002E4824">
        <w:trPr>
          <w:trHeight w:val="308"/>
        </w:trPr>
        <w:tc>
          <w:tcPr>
            <w:tcW w:w="0" w:type="auto"/>
            <w:gridSpan w:val="4"/>
            <w:tcBorders>
              <w:top w:val="single" w:sz="4" w:space="0" w:color="000000"/>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年初结转和结余</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本年收入</w:t>
            </w:r>
          </w:p>
        </w:tc>
        <w:tc>
          <w:tcPr>
            <w:tcW w:w="2398" w:type="dxa"/>
            <w:gridSpan w:val="3"/>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本年支出</w:t>
            </w:r>
          </w:p>
        </w:tc>
        <w:tc>
          <w:tcPr>
            <w:tcW w:w="0" w:type="auto"/>
            <w:vMerge w:val="restart"/>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年末结转和结余</w:t>
            </w:r>
          </w:p>
        </w:tc>
      </w:tr>
      <w:tr w:rsidR="002E4824">
        <w:trPr>
          <w:trHeight w:val="312"/>
        </w:trPr>
        <w:tc>
          <w:tcPr>
            <w:tcW w:w="0" w:type="auto"/>
            <w:gridSpan w:val="3"/>
            <w:vMerge w:val="restart"/>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功能分类科目编码</w:t>
            </w:r>
          </w:p>
        </w:tc>
        <w:tc>
          <w:tcPr>
            <w:tcW w:w="0" w:type="auto"/>
            <w:vMerge w:val="restart"/>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科目名称</w:t>
            </w: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738" w:type="dxa"/>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小计</w:t>
            </w:r>
          </w:p>
        </w:tc>
        <w:tc>
          <w:tcPr>
            <w:tcW w:w="0" w:type="auto"/>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基本支出</w:t>
            </w:r>
          </w:p>
        </w:tc>
        <w:tc>
          <w:tcPr>
            <w:tcW w:w="0" w:type="auto"/>
            <w:vMerge w:val="restart"/>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项目支出</w:t>
            </w: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12"/>
        </w:trPr>
        <w:tc>
          <w:tcPr>
            <w:tcW w:w="0" w:type="auto"/>
            <w:gridSpan w:val="3"/>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738"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12"/>
        </w:trPr>
        <w:tc>
          <w:tcPr>
            <w:tcW w:w="0" w:type="auto"/>
            <w:gridSpan w:val="3"/>
            <w:vMerge/>
            <w:tcBorders>
              <w:top w:val="nil"/>
              <w:left w:val="single" w:sz="4" w:space="0" w:color="000000"/>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738" w:type="dxa"/>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nil"/>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vMerge/>
            <w:tcBorders>
              <w:top w:val="single" w:sz="4" w:space="0" w:color="000000"/>
              <w:left w:val="nil"/>
              <w:bottom w:val="single" w:sz="4" w:space="0" w:color="000000"/>
              <w:right w:val="single" w:sz="4" w:space="0" w:color="000000"/>
            </w:tcBorders>
            <w:shd w:val="clear" w:color="auto" w:fill="FFFFFF" w:themeFill="background1"/>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08"/>
        </w:trPr>
        <w:tc>
          <w:tcPr>
            <w:tcW w:w="0" w:type="auto"/>
            <w:gridSpan w:val="4"/>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栏次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1</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2</w:t>
            </w:r>
          </w:p>
        </w:tc>
        <w:tc>
          <w:tcPr>
            <w:tcW w:w="738"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3</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4</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5</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6</w:t>
            </w:r>
          </w:p>
        </w:tc>
      </w:tr>
      <w:tr w:rsidR="002E4824">
        <w:trPr>
          <w:trHeight w:val="308"/>
        </w:trPr>
        <w:tc>
          <w:tcPr>
            <w:tcW w:w="0" w:type="auto"/>
            <w:gridSpan w:val="4"/>
            <w:tcBorders>
              <w:top w:val="nil"/>
              <w:left w:val="single" w:sz="4" w:space="0" w:color="000000"/>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9B5BF3">
            <w:pPr>
              <w:widowControl/>
              <w:jc w:val="center"/>
              <w:textAlignment w:val="center"/>
              <w:rPr>
                <w:rFonts w:ascii="宋体" w:hAnsi="宋体" w:cs="宋体"/>
                <w:color w:val="000000"/>
                <w:sz w:val="20"/>
                <w:szCs w:val="20"/>
              </w:rPr>
            </w:pPr>
            <w:r>
              <w:rPr>
                <w:rFonts w:ascii="宋体" w:hAnsi="宋体" w:cs="宋体" w:hint="eastAsia"/>
                <w:color w:val="000000"/>
                <w:kern w:val="0"/>
                <w:sz w:val="20"/>
                <w:szCs w:val="20"/>
              </w:rPr>
              <w:t>合计</w:t>
            </w: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738" w:type="dxa"/>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FFFFFF" w:themeFill="background1"/>
            <w:noWrap/>
            <w:tcMar>
              <w:top w:w="15" w:type="dxa"/>
              <w:left w:w="15" w:type="dxa"/>
              <w:right w:w="15" w:type="dxa"/>
            </w:tcMar>
            <w:vAlign w:val="center"/>
          </w:tcPr>
          <w:p w:rsidR="002E4824" w:rsidRDefault="002E4824">
            <w:pPr>
              <w:jc w:val="center"/>
              <w:rPr>
                <w:rFonts w:ascii="宋体" w:hAnsi="宋体" w:cs="宋体"/>
                <w:color w:val="000000"/>
                <w:sz w:val="20"/>
                <w:szCs w:val="20"/>
              </w:rPr>
            </w:pP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0" w:type="auto"/>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lef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73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c>
          <w:tcPr>
            <w:tcW w:w="0" w:type="auto"/>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2E4824" w:rsidRDefault="002E4824">
            <w:pPr>
              <w:jc w:val="right"/>
              <w:rPr>
                <w:rFonts w:ascii="宋体" w:hAnsi="宋体" w:cs="宋体"/>
                <w:color w:val="000000"/>
                <w:sz w:val="20"/>
                <w:szCs w:val="20"/>
              </w:rPr>
            </w:pPr>
          </w:p>
        </w:tc>
      </w:tr>
      <w:tr w:rsidR="002E4824">
        <w:trPr>
          <w:trHeight w:val="308"/>
        </w:trPr>
        <w:tc>
          <w:tcPr>
            <w:tcW w:w="14020" w:type="dxa"/>
            <w:gridSpan w:val="10"/>
            <w:tcBorders>
              <w:top w:val="nil"/>
              <w:left w:val="nil"/>
              <w:bottom w:val="nil"/>
              <w:right w:val="nil"/>
            </w:tcBorders>
            <w:shd w:val="clear" w:color="auto" w:fill="auto"/>
            <w:noWrap/>
            <w:tcMar>
              <w:top w:w="15" w:type="dxa"/>
              <w:left w:w="15" w:type="dxa"/>
              <w:right w:w="15" w:type="dxa"/>
            </w:tcMar>
            <w:vAlign w:val="center"/>
          </w:tcPr>
          <w:p w:rsidR="002E4824" w:rsidRDefault="009B5BF3">
            <w:pPr>
              <w:widowControl/>
              <w:jc w:val="left"/>
              <w:textAlignment w:val="center"/>
              <w:rPr>
                <w:rFonts w:ascii="宋体" w:hAnsi="宋体" w:cs="宋体"/>
                <w:color w:val="000000"/>
                <w:sz w:val="20"/>
                <w:szCs w:val="20"/>
              </w:rPr>
            </w:pPr>
            <w:r>
              <w:rPr>
                <w:rFonts w:ascii="宋体" w:hAnsi="宋体" w:cs="宋体" w:hint="eastAsia"/>
                <w:color w:val="000000"/>
                <w:kern w:val="0"/>
                <w:sz w:val="20"/>
                <w:szCs w:val="20"/>
              </w:rPr>
              <w:t>注：本表反映部门本年度政府性基金预算财政拨款收入、支出及结转和结余情况。本表金额转换为万元时，因四舍五入可能存在尾差。</w:t>
            </w:r>
          </w:p>
        </w:tc>
      </w:tr>
    </w:tbl>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9B5BF3">
      <w:pPr>
        <w:jc w:val="center"/>
        <w:outlineLvl w:val="0"/>
        <w:rPr>
          <w:rFonts w:ascii="黑体" w:eastAsia="黑体" w:hAnsi="黑体" w:cs="黑体"/>
          <w:sz w:val="48"/>
          <w:szCs w:val="48"/>
        </w:rPr>
      </w:pPr>
      <w:r>
        <w:rPr>
          <w:rFonts w:ascii="黑体" w:eastAsia="黑体" w:hAnsi="黑体" w:cs="黑体" w:hint="eastAsia"/>
          <w:sz w:val="48"/>
          <w:szCs w:val="48"/>
        </w:rPr>
        <w:t>第三部分  2019年度部门决算情况说明</w:t>
      </w:r>
    </w:p>
    <w:p w:rsidR="002E4824" w:rsidRDefault="002E4824">
      <w:pPr>
        <w:widowControl/>
        <w:jc w:val="left"/>
        <w:rPr>
          <w:rFonts w:ascii="黑体" w:eastAsia="黑体" w:hAnsi="黑体" w:cs="黑体"/>
          <w:sz w:val="48"/>
          <w:szCs w:val="48"/>
        </w:rPr>
        <w:sectPr w:rsidR="002E4824">
          <w:pgSz w:w="16838" w:h="11906" w:orient="landscape"/>
          <w:pgMar w:top="1800" w:right="820" w:bottom="1800" w:left="567" w:header="720" w:footer="720" w:gutter="0"/>
          <w:pgNumType w:fmt="numberInDash"/>
          <w:cols w:space="720"/>
          <w:docGrid w:type="lines" w:linePitch="312"/>
        </w:sectPr>
      </w:pP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lastRenderedPageBreak/>
        <w:t>一、收入支出决算总体情况说明</w:t>
      </w:r>
    </w:p>
    <w:p w:rsidR="002E4824" w:rsidRDefault="009B5BF3">
      <w:pPr>
        <w:widowControl/>
        <w:spacing w:line="590" w:lineRule="exact"/>
        <w:ind w:firstLineChars="200" w:firstLine="640"/>
        <w:rPr>
          <w:rFonts w:ascii="黑体" w:eastAsia="黑体" w:hAnsi="黑体" w:cs="黑体"/>
          <w:sz w:val="32"/>
          <w:szCs w:val="32"/>
        </w:rPr>
      </w:pPr>
      <w:r>
        <w:rPr>
          <w:rFonts w:ascii="仿宋_GB2312" w:eastAsia="仿宋_GB2312" w:hAnsi="仿宋_GB2312" w:cs="仿宋_GB2312" w:hint="eastAsia"/>
          <w:sz w:val="32"/>
          <w:szCs w:val="32"/>
        </w:rPr>
        <w:t>2019年度收</w:t>
      </w:r>
      <w:r w:rsidR="000C2F91">
        <w:rPr>
          <w:rFonts w:ascii="仿宋_GB2312" w:eastAsia="仿宋_GB2312" w:hAnsi="仿宋_GB2312" w:cs="仿宋_GB2312" w:hint="eastAsia"/>
          <w:sz w:val="32"/>
          <w:szCs w:val="32"/>
        </w:rPr>
        <w:t>、支</w:t>
      </w:r>
      <w:r>
        <w:rPr>
          <w:rFonts w:ascii="仿宋_GB2312" w:eastAsia="仿宋_GB2312" w:hAnsi="仿宋_GB2312" w:cs="仿宋_GB2312" w:hint="eastAsia"/>
          <w:sz w:val="32"/>
          <w:szCs w:val="32"/>
        </w:rPr>
        <w:t>总计</w:t>
      </w:r>
      <w:r w:rsidR="000C2F91">
        <w:rPr>
          <w:rFonts w:ascii="仿宋_GB2312" w:eastAsia="仿宋_GB2312" w:hAnsi="仿宋_GB2312" w:cs="仿宋_GB2312" w:hint="eastAsia"/>
          <w:sz w:val="32"/>
          <w:szCs w:val="32"/>
        </w:rPr>
        <w:t>均</w:t>
      </w:r>
      <w:r>
        <w:rPr>
          <w:rFonts w:ascii="仿宋_GB2312" w:eastAsia="仿宋_GB2312" w:hAnsi="仿宋_GB2312" w:cs="仿宋_GB2312" w:hint="eastAsia"/>
          <w:sz w:val="32"/>
          <w:szCs w:val="32"/>
        </w:rPr>
        <w:t>为651.29万元，与上年度相比，</w:t>
      </w:r>
      <w:r w:rsidR="000C2F91">
        <w:rPr>
          <w:rFonts w:ascii="仿宋_GB2312" w:eastAsia="仿宋_GB2312" w:hAnsi="仿宋_GB2312" w:cs="仿宋_GB2312" w:hint="eastAsia"/>
          <w:sz w:val="32"/>
          <w:szCs w:val="32"/>
        </w:rPr>
        <w:t>收、支总计均</w:t>
      </w:r>
      <w:r>
        <w:rPr>
          <w:rFonts w:ascii="仿宋_GB2312" w:eastAsia="仿宋_GB2312" w:hAnsi="仿宋_GB2312" w:cs="仿宋_GB2312" w:hint="eastAsia"/>
          <w:sz w:val="32"/>
          <w:szCs w:val="32"/>
        </w:rPr>
        <w:t>增加128.37万元，增长24.55%，主要原因是上级拨付新时代文明实践中心专项经费增加。</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二、收入决算情况说明</w:t>
      </w:r>
    </w:p>
    <w:p w:rsidR="002E4824" w:rsidRDefault="009B5BF3">
      <w:pPr>
        <w:widowControl/>
        <w:spacing w:line="590" w:lineRule="exact"/>
        <w:ind w:firstLineChars="200" w:firstLine="640"/>
        <w:rPr>
          <w:rFonts w:ascii="黑体" w:eastAsia="黑体" w:hAnsi="黑体" w:cs="黑体"/>
          <w:sz w:val="32"/>
          <w:szCs w:val="32"/>
        </w:rPr>
      </w:pPr>
      <w:r>
        <w:rPr>
          <w:rFonts w:ascii="仿宋_GB2312" w:eastAsia="仿宋_GB2312" w:hAnsi="仿宋_GB2312" w:cs="仿宋_GB2312" w:hint="eastAsia"/>
          <w:sz w:val="32"/>
          <w:szCs w:val="32"/>
        </w:rPr>
        <w:t>2019年度收入合计651.29万元，其中：财政拨款收入651.29万元，占100%。</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三、支出决算情况说明</w:t>
      </w:r>
    </w:p>
    <w:p w:rsidR="002E4824" w:rsidRDefault="009B5BF3">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2019年度支出合计438.61万元，其中：基本支出146.87万元，占33.49%；项目支出291.74万元，占66.51%。</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四、财政拨款收入支出决算总体情况说明</w:t>
      </w:r>
    </w:p>
    <w:p w:rsidR="002E4824" w:rsidRDefault="009B5BF3">
      <w:pPr>
        <w:widowControl/>
        <w:spacing w:line="590" w:lineRule="exact"/>
        <w:ind w:firstLineChars="200" w:firstLine="640"/>
        <w:rPr>
          <w:rFonts w:ascii="黑体" w:eastAsia="黑体" w:hAnsi="黑体" w:cs="黑体"/>
          <w:sz w:val="32"/>
          <w:szCs w:val="32"/>
        </w:rPr>
      </w:pPr>
      <w:r>
        <w:rPr>
          <w:rFonts w:ascii="仿宋_GB2312" w:eastAsia="仿宋_GB2312" w:hAnsi="仿宋_GB2312" w:cs="仿宋_GB2312" w:hint="eastAsia"/>
          <w:sz w:val="32"/>
          <w:szCs w:val="32"/>
        </w:rPr>
        <w:t>2019年度财政拨款收入</w:t>
      </w:r>
      <w:r w:rsidR="000C2F91">
        <w:rPr>
          <w:rFonts w:ascii="仿宋_GB2312" w:eastAsia="仿宋_GB2312" w:hAnsi="仿宋_GB2312" w:cs="仿宋_GB2312" w:hint="eastAsia"/>
          <w:sz w:val="32"/>
          <w:szCs w:val="32"/>
        </w:rPr>
        <w:t>收、支总计均为</w:t>
      </w:r>
      <w:r>
        <w:rPr>
          <w:rFonts w:ascii="仿宋_GB2312" w:eastAsia="仿宋_GB2312" w:hAnsi="仿宋_GB2312" w:cs="仿宋_GB2312" w:hint="eastAsia"/>
          <w:sz w:val="32"/>
          <w:szCs w:val="32"/>
        </w:rPr>
        <w:t>651.29万元，与上年度相比，财政拨款</w:t>
      </w:r>
      <w:r w:rsidR="000C2F91">
        <w:rPr>
          <w:rFonts w:ascii="仿宋_GB2312" w:eastAsia="仿宋_GB2312" w:hAnsi="仿宋_GB2312" w:cs="仿宋_GB2312" w:hint="eastAsia"/>
          <w:sz w:val="32"/>
          <w:szCs w:val="32"/>
        </w:rPr>
        <w:t>收、支总计均</w:t>
      </w:r>
      <w:r>
        <w:rPr>
          <w:rFonts w:ascii="仿宋_GB2312" w:eastAsia="仿宋_GB2312" w:hAnsi="仿宋_GB2312" w:cs="仿宋_GB2312" w:hint="eastAsia"/>
          <w:sz w:val="32"/>
          <w:szCs w:val="32"/>
        </w:rPr>
        <w:t>增加128.37万元，增长24.55%，主要原因是上级拨付新时代文明实践中心专项经费增加。</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五、一般公共预算财政拨款支出决算情况说明</w:t>
      </w:r>
    </w:p>
    <w:p w:rsidR="002E4824" w:rsidRDefault="009B5BF3">
      <w:pPr>
        <w:widowControl/>
        <w:spacing w:line="59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（一）总体情况。</w:t>
      </w:r>
    </w:p>
    <w:p w:rsidR="002E4824" w:rsidRDefault="009B5BF3">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2019年度一般公共预算财政拨款支出438.61万元，占本年支出合计的100%。与上年度相比，一般公共预算财政拨款支出减少84.31万元，下降16.12%。主要原因是存在年末财政拨款结转和结余资金。</w:t>
      </w:r>
    </w:p>
    <w:p w:rsidR="002E4824" w:rsidRDefault="009B5BF3">
      <w:pPr>
        <w:widowControl/>
        <w:spacing w:line="59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（二）结构情况。</w:t>
      </w:r>
    </w:p>
    <w:p w:rsidR="002E4824" w:rsidRDefault="009B5BF3">
      <w:pPr>
        <w:widowControl/>
        <w:spacing w:line="590" w:lineRule="exact"/>
        <w:ind w:firstLineChars="200" w:firstLine="640"/>
        <w:rPr>
          <w:rFonts w:ascii="仿宋_GB2312" w:eastAsia="仿宋_GB2312" w:hAnsi="仿宋"/>
          <w:color w:val="000000"/>
          <w:sz w:val="32"/>
        </w:rPr>
      </w:pPr>
      <w:r>
        <w:rPr>
          <w:rFonts w:ascii="仿宋_GB2312" w:eastAsia="仿宋_GB2312" w:hAnsi="仿宋_GB2312" w:cs="仿宋_GB2312" w:hint="eastAsia"/>
          <w:sz w:val="32"/>
          <w:szCs w:val="32"/>
        </w:rPr>
        <w:t>2019年度一般公共预算财政拨款支出438.61万元，主要用于以下方面：一般公共服务（类）支出411.37万元，占93.79%；</w:t>
      </w:r>
      <w:r>
        <w:rPr>
          <w:rFonts w:ascii="仿宋_GB2312" w:eastAsia="仿宋_GB2312" w:hAnsi="仿宋" w:hint="eastAsia"/>
          <w:color w:val="000000"/>
          <w:sz w:val="32"/>
        </w:rPr>
        <w:lastRenderedPageBreak/>
        <w:t>社会保障和就业（类）支出15.02万元，占3.42%；卫生健康（类）支出4.28万元，占0.98%；住房保障（类）支出7.95万元，占1.81%。</w:t>
      </w:r>
    </w:p>
    <w:p w:rsidR="002E4824" w:rsidRDefault="009B5BF3">
      <w:pPr>
        <w:widowControl/>
        <w:spacing w:line="590" w:lineRule="exact"/>
        <w:ind w:firstLineChars="200" w:firstLine="643"/>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（三）具体情况。</w:t>
      </w:r>
    </w:p>
    <w:p w:rsidR="002E4824" w:rsidRDefault="009B5BF3">
      <w:pPr>
        <w:widowControl/>
        <w:spacing w:line="590" w:lineRule="exact"/>
        <w:ind w:firstLineChars="200" w:firstLine="640"/>
        <w:rPr>
          <w:rFonts w:ascii="仿宋_GB2312" w:hAnsi="仿宋_GB2312" w:cs="仿宋_GB2312"/>
          <w:sz w:val="32"/>
          <w:szCs w:val="32"/>
        </w:rPr>
      </w:pPr>
      <w:r>
        <w:rPr>
          <w:rFonts w:ascii="仿宋_GB2312" w:eastAsia="仿宋_GB2312" w:hAnsi="仿宋_GB2312" w:cs="仿宋_GB2312" w:hint="eastAsia"/>
          <w:sz w:val="32"/>
          <w:szCs w:val="32"/>
        </w:rPr>
        <w:t>2019年度一般公共预算财政拨款支出年初预算</w:t>
      </w:r>
      <w:r>
        <w:rPr>
          <w:rFonts w:ascii="仿宋_GB2312" w:eastAsia="仿宋_GB2312" w:hAnsi="宋体" w:cs="宋体" w:hint="eastAsia"/>
          <w:color w:val="000000" w:themeColor="text1"/>
          <w:kern w:val="0"/>
          <w:sz w:val="32"/>
          <w:szCs w:val="32"/>
        </w:rPr>
        <w:t>为418.67</w:t>
      </w:r>
      <w:r>
        <w:rPr>
          <w:rFonts w:ascii="仿宋_GB2312" w:eastAsia="仿宋_GB2312" w:hAnsi="仿宋_GB2312" w:cs="仿宋_GB2312" w:hint="eastAsia"/>
          <w:sz w:val="32"/>
          <w:szCs w:val="32"/>
        </w:rPr>
        <w:t>万元，支出决算为438.61万元，完成年初预算的104.76%。其中：</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1．一般公共服务支出（类）党委办公厅（室）及相关机构事务（款）行政运行（项）。</w:t>
      </w:r>
      <w:r>
        <w:rPr>
          <w:rFonts w:ascii="仿宋_GB2312" w:eastAsia="仿宋_GB2312" w:hAnsi="仿宋_GB2312" w:cs="仿宋_GB2312" w:hint="eastAsia"/>
          <w:sz w:val="32"/>
          <w:szCs w:val="32"/>
        </w:rPr>
        <w:t>年初预算为</w:t>
      </w:r>
      <w:r>
        <w:rPr>
          <w:rFonts w:ascii="仿宋_GB2312" w:eastAsia="仿宋_GB2312" w:hAnsi="宋体" w:cs="宋体" w:hint="eastAsia"/>
          <w:color w:val="000000" w:themeColor="text1"/>
          <w:kern w:val="0"/>
          <w:sz w:val="32"/>
          <w:szCs w:val="32"/>
        </w:rPr>
        <w:t>23</w:t>
      </w:r>
      <w:r>
        <w:rPr>
          <w:rFonts w:ascii="仿宋_GB2312" w:eastAsia="仿宋_GB2312" w:hAnsi="仿宋_GB2312" w:cs="仿宋_GB2312" w:hint="eastAsia"/>
          <w:sz w:val="32"/>
          <w:szCs w:val="32"/>
        </w:rPr>
        <w:t>万元，支出决算为21.01万元，完成年初预算的91.35%。决算数与年初预算数存在差异的主要原因是存在年末财政拨款结转和结余资金。</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2．一般公共服务支出（类）宣传事务（款）行政运行（项）。</w:t>
      </w:r>
      <w:r>
        <w:rPr>
          <w:rFonts w:ascii="仿宋_GB2312" w:eastAsia="仿宋_GB2312" w:hAnsi="仿宋_GB2312" w:cs="仿宋_GB2312" w:hint="eastAsia"/>
          <w:sz w:val="32"/>
          <w:szCs w:val="32"/>
        </w:rPr>
        <w:t>年初预算为</w:t>
      </w:r>
      <w:r>
        <w:rPr>
          <w:rFonts w:ascii="仿宋_GB2312" w:eastAsia="仿宋_GB2312" w:hAnsi="宋体" w:cs="宋体" w:hint="eastAsia"/>
          <w:color w:val="000000" w:themeColor="text1"/>
          <w:kern w:val="0"/>
          <w:sz w:val="32"/>
          <w:szCs w:val="32"/>
        </w:rPr>
        <w:t>105.38</w:t>
      </w:r>
      <w:r>
        <w:rPr>
          <w:rFonts w:ascii="仿宋_GB2312" w:eastAsia="仿宋_GB2312" w:hAnsi="仿宋_GB2312" w:cs="仿宋_GB2312" w:hint="eastAsia"/>
          <w:sz w:val="32"/>
          <w:szCs w:val="32"/>
        </w:rPr>
        <w:t>万元，支出决算为97.76万元，完成年初预算的92.77%。决算数与年初预算数存在差异的主要原因是存在年末财政拨款结转和结余资金。</w:t>
      </w:r>
    </w:p>
    <w:p w:rsidR="002E4824" w:rsidRDefault="009B5BF3">
      <w:pPr>
        <w:widowControl/>
        <w:spacing w:line="59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3．一般公共服务支出（类）宣传事务（款）一般行政管理事务（项）。</w:t>
      </w:r>
      <w:r>
        <w:rPr>
          <w:rFonts w:ascii="仿宋_GB2312" w:eastAsia="仿宋_GB2312" w:hAnsi="仿宋_GB2312" w:cs="仿宋_GB2312" w:hint="eastAsia"/>
          <w:sz w:val="32"/>
          <w:szCs w:val="32"/>
        </w:rPr>
        <w:t>年初预算为</w:t>
      </w:r>
      <w:r>
        <w:rPr>
          <w:rFonts w:ascii="仿宋_GB2312" w:eastAsia="仿宋_GB2312" w:hAnsi="宋体" w:cs="宋体" w:hint="eastAsia"/>
          <w:color w:val="000000" w:themeColor="text1"/>
          <w:kern w:val="0"/>
          <w:sz w:val="32"/>
          <w:szCs w:val="32"/>
        </w:rPr>
        <w:t>260</w:t>
      </w:r>
      <w:r>
        <w:rPr>
          <w:rFonts w:ascii="仿宋_GB2312" w:eastAsia="仿宋_GB2312" w:hAnsi="仿宋_GB2312" w:cs="仿宋_GB2312" w:hint="eastAsia"/>
          <w:sz w:val="32"/>
          <w:szCs w:val="32"/>
        </w:rPr>
        <w:t>万元，支出决算为291.74万元，完成年初预算的112.20%。决算数与年初预算数存在差异的主</w:t>
      </w:r>
      <w:r>
        <w:rPr>
          <w:rFonts w:ascii="仿宋_GB2312" w:eastAsia="仿宋_GB2312" w:hAnsi="仿宋_GB2312" w:cs="仿宋_GB2312" w:hint="eastAsia"/>
          <w:color w:val="000000" w:themeColor="text1"/>
          <w:sz w:val="32"/>
          <w:szCs w:val="32"/>
        </w:rPr>
        <w:t>要原因是增</w:t>
      </w:r>
      <w:r>
        <w:rPr>
          <w:rFonts w:ascii="仿宋_GB2312" w:eastAsia="仿宋_GB2312" w:hAnsi="仿宋_GB2312" w:cs="仿宋_GB2312" w:hint="eastAsia"/>
          <w:sz w:val="32"/>
          <w:szCs w:val="32"/>
        </w:rPr>
        <w:t>加了新时代文明实践中心工作经费。</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4．一般公共服务支出（类）宣传事务（款）其他宣传事务支出（项）。</w:t>
      </w:r>
      <w:r>
        <w:rPr>
          <w:rFonts w:ascii="仿宋_GB2312" w:eastAsia="仿宋_GB2312" w:hAnsi="仿宋_GB2312" w:cs="仿宋_GB2312" w:hint="eastAsia"/>
          <w:sz w:val="32"/>
          <w:szCs w:val="32"/>
        </w:rPr>
        <w:t>年初预算为</w:t>
      </w:r>
      <w:r>
        <w:rPr>
          <w:rFonts w:ascii="仿宋_GB2312" w:eastAsia="仿宋_GB2312" w:hAnsi="宋体" w:cs="宋体" w:hint="eastAsia"/>
          <w:color w:val="000000" w:themeColor="text1"/>
          <w:kern w:val="0"/>
          <w:sz w:val="32"/>
          <w:szCs w:val="32"/>
        </w:rPr>
        <w:t>0</w:t>
      </w:r>
      <w:r>
        <w:rPr>
          <w:rFonts w:ascii="仿宋_GB2312" w:eastAsia="仿宋_GB2312" w:hAnsi="仿宋_GB2312" w:cs="仿宋_GB2312" w:hint="eastAsia"/>
          <w:sz w:val="32"/>
          <w:szCs w:val="32"/>
        </w:rPr>
        <w:t>万元，支出决算为0.86万元。决算数与年初预算数存在差异的主</w:t>
      </w:r>
      <w:r>
        <w:rPr>
          <w:rFonts w:ascii="仿宋_GB2312" w:eastAsia="仿宋_GB2312" w:hAnsi="仿宋_GB2312" w:cs="仿宋_GB2312" w:hint="eastAsia"/>
          <w:color w:val="000000" w:themeColor="text1"/>
          <w:sz w:val="32"/>
          <w:szCs w:val="32"/>
        </w:rPr>
        <w:t>要原因是</w:t>
      </w:r>
      <w:r>
        <w:rPr>
          <w:rFonts w:ascii="仿宋_GB2312" w:eastAsia="仿宋_GB2312" w:hAnsi="仿宋_GB2312" w:cs="仿宋_GB2312" w:hint="eastAsia"/>
          <w:sz w:val="32"/>
          <w:szCs w:val="32"/>
        </w:rPr>
        <w:t>上级拨付新时代文明实践中心专项经费增加。</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lastRenderedPageBreak/>
        <w:t>5．社会保障和就业支出（类）行政事业单位离退休（款）机关事业单位基本养老保险缴费支出（项）。</w:t>
      </w:r>
      <w:r>
        <w:rPr>
          <w:rFonts w:ascii="仿宋_GB2312" w:eastAsia="仿宋_GB2312" w:hAnsi="仿宋_GB2312" w:cs="仿宋_GB2312" w:hint="eastAsia"/>
          <w:sz w:val="32"/>
          <w:szCs w:val="32"/>
        </w:rPr>
        <w:t>年初预算为14.39万元，支出决算为14.39万元，完成年初预算的100%。</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6．社会保障和就业支出（类）其他社会保障和就业支出（款）其他社会保障和就业支出（项）。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0.6</w:t>
      </w:r>
      <w:r>
        <w:rPr>
          <w:rFonts w:ascii="仿宋_GB2312" w:eastAsia="仿宋_GB2312" w:hAnsi="仿宋_GB2312" w:cs="仿宋_GB2312" w:hint="eastAsia"/>
          <w:sz w:val="32"/>
          <w:szCs w:val="32"/>
        </w:rPr>
        <w:t>3万元，支出决算为</w:t>
      </w:r>
      <w:r>
        <w:rPr>
          <w:rFonts w:ascii="仿宋_GB2312" w:eastAsia="仿宋_GB2312" w:hAnsi="仿宋_GB2312" w:cs="仿宋_GB2312"/>
          <w:sz w:val="32"/>
          <w:szCs w:val="32"/>
        </w:rPr>
        <w:t>0.6</w:t>
      </w:r>
      <w:r>
        <w:rPr>
          <w:rFonts w:ascii="仿宋_GB2312" w:eastAsia="仿宋_GB2312" w:hAnsi="仿宋_GB2312" w:cs="仿宋_GB2312" w:hint="eastAsia"/>
          <w:sz w:val="32"/>
          <w:szCs w:val="32"/>
        </w:rPr>
        <w:t>3万元，完成年初预算的100%。</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7．卫生健康支出（类）行政事业单位医疗（款）行政单位医疗（项）。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14万元，支出决算为</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14万元，完成年初预算的100%。</w:t>
      </w:r>
    </w:p>
    <w:p w:rsidR="002E4824" w:rsidRDefault="009B5BF3">
      <w:pPr>
        <w:widowControl/>
        <w:spacing w:line="59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8．卫生健康支出（类）行政事业单位医疗（款）其他行政事业单位医疗支出（项）。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0.14</w:t>
      </w:r>
      <w:r>
        <w:rPr>
          <w:rFonts w:ascii="仿宋_GB2312" w:eastAsia="仿宋_GB2312" w:hAnsi="仿宋_GB2312" w:cs="仿宋_GB2312" w:hint="eastAsia"/>
          <w:sz w:val="32"/>
          <w:szCs w:val="32"/>
        </w:rPr>
        <w:t>万元，支出决算为</w:t>
      </w:r>
      <w:r>
        <w:rPr>
          <w:rFonts w:ascii="仿宋_GB2312" w:eastAsia="仿宋_GB2312" w:hAnsi="仿宋_GB2312" w:cs="仿宋_GB2312"/>
          <w:sz w:val="32"/>
          <w:szCs w:val="32"/>
        </w:rPr>
        <w:t>0.14</w:t>
      </w:r>
      <w:r>
        <w:rPr>
          <w:rFonts w:ascii="仿宋_GB2312" w:eastAsia="仿宋_GB2312" w:hAnsi="仿宋_GB2312" w:cs="仿宋_GB2312" w:hint="eastAsia"/>
          <w:sz w:val="32"/>
          <w:szCs w:val="32"/>
        </w:rPr>
        <w:t>万元，完成年初预算的100%。</w:t>
      </w:r>
    </w:p>
    <w:p w:rsidR="002E4824" w:rsidRDefault="009B5BF3">
      <w:pPr>
        <w:widowControl/>
        <w:spacing w:line="59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9.住房保障支出（类）住房改革支出（款）住房公积金（项）。</w:t>
      </w:r>
      <w:r>
        <w:rPr>
          <w:rFonts w:ascii="仿宋_GB2312" w:eastAsia="仿宋_GB2312" w:hAnsi="仿宋_GB2312" w:cs="仿宋_GB2312" w:hint="eastAsia"/>
          <w:sz w:val="32"/>
          <w:szCs w:val="32"/>
        </w:rPr>
        <w:t>年初预算为</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95万元，支出决算为</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95万元，完成年初预算的100%。</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六、一般公共预算财政拨款基本支出决算情况说明</w:t>
      </w:r>
    </w:p>
    <w:p w:rsidR="002E4824" w:rsidRDefault="009B5BF3">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一般公共预算财政拨款基本支出146.87万元。其中：人员经费125万元，主要包括：基本工资、奖金、机关事业单位基本养老保险缴费、职工基本医疗保险缴费、其他社会保障缴费、住房公积金；公用经费21.87万元，主要包括：办公费、印刷费、邮电费、差旅费、维修（护）费、公务接待费、工会经费、福利费、其他交通费用、其他商品和服务支出。</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lastRenderedPageBreak/>
        <w:t>七、一般公共预算财政拨款“三公”经费支出决算情况说明</w:t>
      </w:r>
    </w:p>
    <w:p w:rsidR="002E4824" w:rsidRDefault="009B5BF3">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（一）“三公”经费财政拨款支出决算总体情况说明。</w:t>
      </w:r>
    </w:p>
    <w:p w:rsidR="002E4824" w:rsidRDefault="009B5BF3">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2019年度“三公”经费财政拨款支出预算为0.5万元，支出决算为0.5万元，完成预算的100%。</w:t>
      </w:r>
    </w:p>
    <w:p w:rsidR="002E4824" w:rsidRDefault="009B5BF3">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（二）“三公”经费财政拨款支出决算具体情况说明。</w:t>
      </w:r>
    </w:p>
    <w:p w:rsidR="002E4824" w:rsidRDefault="009B5BF3">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2019年度“三公”经费财政拨款支出决算中，因公出国（境）费支出决算0万元，占0%；公务用车购置及运行费支出决算0万元，占0%；公务接待费支出决算0.5万元，完成预算的100%，占100%。具体情况如下：</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1．因公出国（境）费</w:t>
      </w:r>
      <w:r>
        <w:rPr>
          <w:rFonts w:ascii="仿宋_GB2312" w:eastAsia="仿宋_GB2312" w:hAnsi="仿宋_GB2312" w:cs="仿宋_GB2312" w:hint="eastAsia"/>
          <w:sz w:val="32"/>
          <w:szCs w:val="32"/>
        </w:rPr>
        <w:t>年初预算为0万元，支出决算为0万元。全年因公出国（境）团组0个，累计0人次。</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2．公务用车购置及运行费</w:t>
      </w:r>
      <w:r>
        <w:rPr>
          <w:rFonts w:ascii="仿宋_GB2312" w:eastAsia="仿宋_GB2312" w:hAnsi="仿宋_GB2312" w:cs="仿宋_GB2312" w:hint="eastAsia"/>
          <w:sz w:val="32"/>
          <w:szCs w:val="32"/>
        </w:rPr>
        <w:t>年初预算为0万元，支出决算为0万元。其中：</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公务用车购置支出</w:t>
      </w:r>
      <w:r>
        <w:rPr>
          <w:rFonts w:ascii="仿宋_GB2312" w:eastAsia="仿宋_GB2312" w:hAnsi="仿宋_GB2312" w:cs="仿宋_GB2312" w:hint="eastAsia"/>
          <w:sz w:val="32"/>
          <w:szCs w:val="32"/>
        </w:rPr>
        <w:t>为0万元，购置车辆0辆。</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公务用车运行支出</w:t>
      </w:r>
      <w:r>
        <w:rPr>
          <w:rFonts w:ascii="仿宋_GB2312" w:eastAsia="仿宋_GB2312" w:hAnsi="仿宋_GB2312" w:cs="仿宋_GB2312" w:hint="eastAsia"/>
          <w:sz w:val="32"/>
          <w:szCs w:val="32"/>
        </w:rPr>
        <w:t>0万元。2019年期末，部门开支财政拨款的公务用车保有量为0辆。</w:t>
      </w:r>
    </w:p>
    <w:p w:rsidR="002E4824" w:rsidRDefault="009B5BF3">
      <w:pPr>
        <w:widowControl/>
        <w:numPr>
          <w:ilvl w:val="0"/>
          <w:numId w:val="2"/>
        </w:numPr>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公务接待费</w:t>
      </w:r>
      <w:r>
        <w:rPr>
          <w:rFonts w:ascii="仿宋_GB2312" w:eastAsia="仿宋_GB2312" w:hAnsi="仿宋_GB2312" w:cs="仿宋_GB2312" w:hint="eastAsia"/>
          <w:sz w:val="32"/>
          <w:szCs w:val="32"/>
        </w:rPr>
        <w:t>年初预算为0.5万元，支出决算为0.5万元，完成年初预算的100%。其中：</w:t>
      </w:r>
    </w:p>
    <w:p w:rsidR="002E4824" w:rsidRDefault="009B5BF3">
      <w:pPr>
        <w:widowControl/>
        <w:spacing w:line="590" w:lineRule="exact"/>
        <w:ind w:firstLineChars="200" w:firstLine="643"/>
        <w:rPr>
          <w:rFonts w:ascii="仿宋_GB2312" w:eastAsia="仿宋_GB2312" w:hAnsi="仿宋_GB2312" w:cs="仿宋_GB2312"/>
          <w:b/>
          <w:bCs/>
          <w:sz w:val="32"/>
          <w:szCs w:val="32"/>
        </w:rPr>
      </w:pPr>
      <w:r>
        <w:rPr>
          <w:rFonts w:ascii="仿宋_GB2312" w:eastAsia="仿宋_GB2312" w:hAnsi="仿宋_GB2312" w:cs="仿宋_GB2312" w:hint="eastAsia"/>
          <w:b/>
          <w:bCs/>
          <w:sz w:val="32"/>
          <w:szCs w:val="32"/>
        </w:rPr>
        <w:t>外宾接待支出</w:t>
      </w:r>
      <w:r>
        <w:rPr>
          <w:rFonts w:ascii="仿宋_GB2312" w:eastAsia="仿宋_GB2312" w:hAnsi="仿宋_GB2312" w:cs="仿宋_GB2312" w:hint="eastAsia"/>
          <w:sz w:val="32"/>
          <w:szCs w:val="32"/>
        </w:rPr>
        <w:t>0万元。2019年共接待国（境）外来访团组0个、来访外宾0人次（不包括陪同人员）。</w:t>
      </w:r>
    </w:p>
    <w:p w:rsidR="002E4824" w:rsidRDefault="009B5BF3">
      <w:pPr>
        <w:widowControl/>
        <w:spacing w:line="590" w:lineRule="exact"/>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bCs/>
          <w:sz w:val="32"/>
          <w:szCs w:val="32"/>
        </w:rPr>
        <w:t>其他国内公务接待支出</w:t>
      </w:r>
      <w:r>
        <w:rPr>
          <w:rFonts w:ascii="仿宋_GB2312" w:eastAsia="仿宋_GB2312" w:hAnsi="仿宋_GB2312" w:cs="仿宋_GB2312" w:hint="eastAsia"/>
          <w:sz w:val="32"/>
          <w:szCs w:val="32"/>
        </w:rPr>
        <w:t>0.5万元。主要用于上级宣传部门、各省、市、县来访新时代文明实践中心和新闻媒体人员的接待。</w:t>
      </w:r>
      <w:r>
        <w:rPr>
          <w:rFonts w:ascii="仿宋_GB2312" w:eastAsia="仿宋_GB2312" w:hAnsi="仿宋_GB2312" w:cs="仿宋_GB2312" w:hint="eastAsia"/>
          <w:sz w:val="32"/>
          <w:szCs w:val="32"/>
        </w:rPr>
        <w:lastRenderedPageBreak/>
        <w:t>2019年共接待国内来访团组21个、来宾132人次（不包括陪同人员）。</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八、预算绩效情况说明</w:t>
      </w:r>
    </w:p>
    <w:p w:rsidR="002E4824" w:rsidRDefault="009B5BF3">
      <w:pPr>
        <w:widowControl/>
        <w:spacing w:line="590" w:lineRule="exact"/>
        <w:ind w:firstLineChars="200" w:firstLine="643"/>
        <w:outlineLvl w:val="2"/>
        <w:rPr>
          <w:rFonts w:ascii="楷体_GB2312" w:eastAsia="楷体_GB2312" w:hAnsi="楷体_GB2312" w:cs="楷体_GB2312"/>
          <w:b/>
          <w:bCs/>
          <w:sz w:val="32"/>
          <w:szCs w:val="32"/>
        </w:rPr>
      </w:pPr>
      <w:r>
        <w:rPr>
          <w:rFonts w:ascii="楷体_GB2312" w:eastAsia="楷体_GB2312" w:hAnsi="楷体_GB2312" w:cs="楷体_GB2312" w:hint="eastAsia"/>
          <w:b/>
          <w:bCs/>
          <w:sz w:val="32"/>
          <w:szCs w:val="32"/>
        </w:rPr>
        <w:t>（一）绩效管理工作开展情况。</w:t>
      </w:r>
    </w:p>
    <w:p w:rsidR="002E4824" w:rsidRDefault="009B5BF3">
      <w:pPr>
        <w:widowControl/>
        <w:spacing w:line="590" w:lineRule="exact"/>
        <w:ind w:firstLineChars="200" w:firstLine="640"/>
        <w:outlineLvl w:val="2"/>
        <w:rPr>
          <w:rFonts w:ascii="仿宋_GB2312" w:eastAsia="仿宋_GB2312" w:hAnsi="仿宋_GB2312" w:cs="仿宋_GB2312"/>
          <w:sz w:val="32"/>
          <w:szCs w:val="32"/>
        </w:rPr>
      </w:pPr>
      <w:r>
        <w:rPr>
          <w:rFonts w:ascii="仿宋_GB2312" w:eastAsia="仿宋_GB2312" w:hAnsi="仿宋_GB2312" w:cs="仿宋_GB2312" w:hint="eastAsia"/>
          <w:sz w:val="32"/>
          <w:szCs w:val="32"/>
        </w:rPr>
        <w:t>市委宣传部新时代文明实践中心工作经费项目经费100万元，绩效管理工作紧密围绕市委、市政府中心工作和上级部门的要求制定，通过项目实施，推进新时代文明实践中心建设，发挥扶持的试点示范引领作用；积极培育文明实践优秀项目；广泛开展文明实践志愿服务活动。</w:t>
      </w:r>
    </w:p>
    <w:p w:rsidR="002E4824" w:rsidRDefault="009B5BF3">
      <w:pPr>
        <w:widowControl/>
        <w:spacing w:line="590" w:lineRule="exact"/>
        <w:ind w:firstLineChars="200" w:firstLine="643"/>
        <w:outlineLvl w:val="2"/>
        <w:rPr>
          <w:rFonts w:ascii="楷体_GB2312" w:eastAsia="楷体_GB2312" w:hAnsi="楷体_GB2312" w:cs="楷体_GB2312"/>
          <w:b/>
          <w:bCs/>
          <w:color w:val="000000" w:themeColor="text1"/>
          <w:sz w:val="32"/>
          <w:szCs w:val="32"/>
        </w:rPr>
      </w:pPr>
      <w:r>
        <w:rPr>
          <w:rFonts w:ascii="楷体_GB2312" w:eastAsia="楷体_GB2312" w:hAnsi="楷体_GB2312" w:cs="楷体_GB2312" w:hint="eastAsia"/>
          <w:b/>
          <w:bCs/>
          <w:color w:val="000000" w:themeColor="text1"/>
          <w:sz w:val="32"/>
          <w:szCs w:val="32"/>
        </w:rPr>
        <w:t>（二）项目绩效自评结果。</w:t>
      </w:r>
    </w:p>
    <w:p w:rsidR="002E4824" w:rsidRDefault="009B5BF3">
      <w:pPr>
        <w:widowControl/>
        <w:spacing w:line="590" w:lineRule="exact"/>
        <w:ind w:firstLineChars="200" w:firstLine="640"/>
        <w:outlineLvl w:val="1"/>
        <w:rPr>
          <w:rFonts w:ascii="仿宋_GB2312" w:eastAsia="仿宋_GB2312" w:hAnsi="仿宋_GB2312" w:cs="仿宋_GB2312"/>
          <w:sz w:val="32"/>
          <w:szCs w:val="32"/>
        </w:rPr>
      </w:pPr>
      <w:r>
        <w:rPr>
          <w:rFonts w:ascii="仿宋_GB2312" w:eastAsia="仿宋_GB2312" w:hAnsi="仿宋_GB2312" w:cs="仿宋_GB2312" w:hint="eastAsia"/>
          <w:sz w:val="32"/>
          <w:szCs w:val="32"/>
        </w:rPr>
        <w:t>经过项目绩效自评，评分为97分。从绩效评价结果来看效果显著：（1）项城市作为新时代文明实践中心全国试点县,积极开展各项文明实践和志愿服务活动，先后承办两次全省新时代文明实践中心、建设片区座谈会。全国先后有27个省500多个县（市、区）5000多人来我市参观学习新时代文明实践工作,展示了项城形象，起到了示范引领作用。</w:t>
      </w:r>
    </w:p>
    <w:p w:rsidR="002E4824" w:rsidRDefault="009B5BF3">
      <w:pPr>
        <w:widowControl/>
        <w:spacing w:line="590" w:lineRule="exact"/>
        <w:ind w:firstLineChars="200" w:firstLine="640"/>
        <w:outlineLvl w:val="1"/>
        <w:rPr>
          <w:rFonts w:ascii="仿宋_GB2312" w:eastAsia="仿宋_GB2312" w:hAnsi="仿宋_GB2312" w:cs="仿宋_GB2312"/>
          <w:sz w:val="32"/>
          <w:szCs w:val="32"/>
        </w:rPr>
      </w:pPr>
      <w:r>
        <w:rPr>
          <w:rFonts w:ascii="仿宋_GB2312" w:eastAsia="仿宋_GB2312" w:hAnsi="仿宋_GB2312" w:cs="仿宋_GB2312" w:hint="eastAsia"/>
          <w:sz w:val="32"/>
          <w:szCs w:val="32"/>
        </w:rPr>
        <w:t>（2）党的方针政策进基层文明实践项目，组织志愿者、党员干部、各类专家深入基层进行宣讲，推动党的方针政策在人民群众心中落地生根、入脑入心。开展了防疫志愿服务项目，助力脱贫攻坚志愿服务项目，项城市汽摩协会等公益志愿团队服务项目。</w:t>
      </w:r>
    </w:p>
    <w:p w:rsidR="002E4824" w:rsidRDefault="009B5BF3">
      <w:pPr>
        <w:widowControl/>
        <w:spacing w:line="590" w:lineRule="exact"/>
        <w:ind w:firstLineChars="200" w:firstLine="640"/>
        <w:outlineLvl w:val="1"/>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（3）项城市新时代文明实践中心建成新时代文明实践中心、所、站526个，志愿服务队699支，实名注册志愿者187673人，全年发起招募志愿服务活动7180场次，受众65万余人次。</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九、政府性基金预算财政拨款支出决算情况说明</w:t>
      </w:r>
    </w:p>
    <w:p w:rsidR="002E4824" w:rsidRDefault="009B5BF3">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2019年度政府性基金预算财政拨款支出年初预算为0万元，支出决算为0万元。我部门2019年度没有政府性基金收入，也没有使用政府性基金安排的支出。</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十、机关运行经费支出情况说明</w:t>
      </w:r>
    </w:p>
    <w:p w:rsidR="002E4824" w:rsidRDefault="009B5BF3">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2019年度机关运行经费年初预算为18.81万元，支出决算为21.87万元，完成年初预算的116.26%。决算数与年初预算数存在差异的主要原因是增加了新闻出版及电影放映工作经费。</w:t>
      </w:r>
    </w:p>
    <w:p w:rsidR="002E4824" w:rsidRDefault="009B5BF3">
      <w:pPr>
        <w:widowControl/>
        <w:spacing w:line="590" w:lineRule="exact"/>
        <w:ind w:firstLineChars="200" w:firstLine="640"/>
        <w:rPr>
          <w:rFonts w:ascii="黑体" w:eastAsia="黑体" w:hAnsi="黑体" w:cs="黑体"/>
          <w:sz w:val="32"/>
          <w:szCs w:val="32"/>
        </w:rPr>
      </w:pPr>
      <w:r>
        <w:rPr>
          <w:rFonts w:ascii="黑体" w:eastAsia="黑体" w:hAnsi="黑体" w:cs="黑体" w:hint="eastAsia"/>
          <w:sz w:val="32"/>
          <w:szCs w:val="32"/>
        </w:rPr>
        <w:t>十一、政府采购支出情况说明</w:t>
      </w:r>
    </w:p>
    <w:p w:rsidR="002E4824" w:rsidRDefault="009B5BF3">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度政府采购支出总额0万元，其中：政府采购货物支出0万元、政府采购工程支出0万元、政府采购服务支出0万元。授予中小企业合同金额0万元，占政府采购支出总额的0%，其中：授予小微企业合同金额0万元，占政府采购支出总额的0%。</w:t>
      </w:r>
    </w:p>
    <w:p w:rsidR="002E4824" w:rsidRDefault="009B5BF3">
      <w:pPr>
        <w:widowControl/>
        <w:spacing w:line="590" w:lineRule="exact"/>
        <w:ind w:firstLineChars="200" w:firstLine="640"/>
        <w:outlineLvl w:val="1"/>
        <w:rPr>
          <w:rFonts w:ascii="黑体" w:eastAsia="黑体" w:hAnsi="黑体" w:cs="黑体"/>
          <w:sz w:val="32"/>
          <w:szCs w:val="32"/>
        </w:rPr>
      </w:pPr>
      <w:r>
        <w:rPr>
          <w:rFonts w:ascii="黑体" w:eastAsia="黑体" w:hAnsi="黑体" w:cs="黑体" w:hint="eastAsia"/>
          <w:sz w:val="32"/>
          <w:szCs w:val="32"/>
        </w:rPr>
        <w:t>十二、国有资产占用情况说明</w:t>
      </w:r>
    </w:p>
    <w:p w:rsidR="002E4824" w:rsidRDefault="009B5BF3">
      <w:pPr>
        <w:widowControl/>
        <w:spacing w:line="59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2019年期末，我部门共有车辆0辆。单位价值50万元以上通用设备0台（套），单位价值100万元以上专用设备0台（套）。</w:t>
      </w:r>
    </w:p>
    <w:p w:rsidR="002E4824" w:rsidRDefault="002E4824">
      <w:pPr>
        <w:widowControl/>
        <w:spacing w:line="590" w:lineRule="exact"/>
        <w:ind w:firstLineChars="200" w:firstLine="560"/>
        <w:rPr>
          <w:rFonts w:ascii="黑体" w:eastAsia="黑体" w:hAnsi="宋体" w:cs="宋体"/>
          <w:kern w:val="0"/>
          <w:sz w:val="28"/>
          <w:szCs w:val="2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2E4824">
      <w:pPr>
        <w:jc w:val="center"/>
        <w:outlineLvl w:val="0"/>
        <w:rPr>
          <w:rFonts w:ascii="黑体" w:eastAsia="黑体" w:hAnsi="黑体" w:cs="黑体"/>
          <w:sz w:val="48"/>
          <w:szCs w:val="48"/>
        </w:rPr>
      </w:pPr>
    </w:p>
    <w:p w:rsidR="002E4824" w:rsidRDefault="009B5BF3">
      <w:pPr>
        <w:jc w:val="center"/>
        <w:outlineLvl w:val="0"/>
        <w:rPr>
          <w:rFonts w:ascii="黑体" w:eastAsia="黑体" w:hAnsi="黑体" w:cs="黑体"/>
          <w:sz w:val="48"/>
          <w:szCs w:val="48"/>
        </w:rPr>
      </w:pPr>
      <w:r>
        <w:rPr>
          <w:rFonts w:ascii="黑体" w:eastAsia="黑体" w:hAnsi="黑体" w:cs="黑体" w:hint="eastAsia"/>
          <w:sz w:val="48"/>
          <w:szCs w:val="48"/>
        </w:rPr>
        <w:t>第四部分  名词解释</w:t>
      </w:r>
    </w:p>
    <w:p w:rsidR="002E4824" w:rsidRDefault="002E4824">
      <w:pPr>
        <w:jc w:val="center"/>
        <w:rPr>
          <w:rFonts w:ascii="黑体" w:eastAsia="黑体" w:hAnsi="黑体" w:cs="黑体"/>
          <w:sz w:val="48"/>
          <w:szCs w:val="48"/>
        </w:rPr>
      </w:pPr>
    </w:p>
    <w:p w:rsidR="002E4824" w:rsidRDefault="002E4824">
      <w:pPr>
        <w:jc w:val="center"/>
        <w:outlineLvl w:val="0"/>
        <w:rPr>
          <w:rFonts w:ascii="黑体" w:eastAsia="黑体" w:hAnsi="黑体" w:cs="黑体"/>
          <w:sz w:val="48"/>
          <w:szCs w:val="48"/>
        </w:rPr>
        <w:sectPr w:rsidR="002E4824">
          <w:pgSz w:w="11906" w:h="16838"/>
          <w:pgMar w:top="1440" w:right="1531" w:bottom="1440" w:left="1587" w:header="850" w:footer="992" w:gutter="0"/>
          <w:pgNumType w:fmt="numberInDash"/>
          <w:cols w:space="720"/>
          <w:docGrid w:type="lines" w:linePitch="317"/>
        </w:sectPr>
      </w:pP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一、财政拨款收入：单位从同级政府财政部门取得的财政预算资金。</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二、事业收入：事业单位开展专业业务活动及其辅助活动取得的收入。</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三、上级补助收入：事业单位从主管部门和上级单位取得的非财政补助收入。</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四、附属单位上缴收入：事业单位取得附属独立核算单位根据有关规定上缴的收入。</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五、经营收入：事业单位在专业业务活动及其辅助活动之外开展非独立核算经营活动取得的收入。</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六、其他收入：单位取得的除“财政拨款收入”、“事业收入”、“上级补助收入”、“附属单位上缴收入”、“经营收入”以外的各项收入。</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七、用事业基金弥补收支差额：事业单位在当年收入不足以安排当年支出的情况下，使用以前年度积累的事业基金（事业单位当年收支相抵后按国家规定提取、用于弥补以后年度收支差额的基金）弥补当年收支缺口的资金。</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八、基本支出：为保障机构正常运转、完成日常工作任务而发生的人员支出和公用支出。</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九、项目支出：基本支出之外为完成特定行政任务和事业发展目标所发生的支出。</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十、“三公”经费：纳入同级财政预决算管理“三公”经费，指部门使用财政拨款安排的因公出国（境）费、公务</w:t>
      </w:r>
      <w:r>
        <w:rPr>
          <w:rFonts w:ascii="仿宋_GB2312" w:eastAsia="仿宋_GB2312" w:hAnsi="仿宋_GB2312" w:cs="仿宋_GB2312" w:hint="eastAsia"/>
          <w:sz w:val="32"/>
          <w:szCs w:val="32"/>
        </w:rPr>
        <w:lastRenderedPageBreak/>
        <w:t>用车购置及运行费和公务接待费。其中，因公出国（境）费反映单位公务出国（境）的国际旅费、国外城市间交通费、住宿费、伙食费、培训费、公杂费等支出；公务用车购置及运行费反映反映单位公务用车车辆购置支出（含车辆购置税）及租用费、燃料费、维修费、过路过桥费、保险费、安全奖励费用等支出；公务接待费反映单位按规定开支的各类公务接待（含外宾接待）支出。</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一、机关运行经费：为保障行政单位（含参照公务员法管理的事业单位）运行用于购买货物和服务的各项资金，包括办公及印刷费、邮电费、差旅费、会议费、福利费、日常维修费、专用材料及一般设备购置费、办公用房水电费、办公用房取暖费、办公用房物业管理费、公务用车运行维护费以及其他费用。</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十二、工资福利支出：单位支付给在职职工和编制外长期聘用人员的各类劳动报酬，以及为上述人员缴纳的各项社会保险费等。</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十三、商品和服务支出：单位购买商品和服务的支出。</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十四、对个人和家庭的补助支出：单位用于对个人和家庭的补助支出。</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十五、年末结转：本年度或以前年度预算安排，已执行但尚未完成或因客观条件发生变化无法按原计划实施，需延迟到以后年度按有关规定继续使用的资金。</w:t>
      </w:r>
    </w:p>
    <w:p w:rsidR="002E4824" w:rsidRDefault="009B5BF3">
      <w:pPr>
        <w:widowControl/>
        <w:spacing w:line="590" w:lineRule="exact"/>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十六、年末结余：本年度或以前年度预算安排，已执行完毕或因客观条件发生变化无法按原预算安排实施，不需要再使用或无法按原预算安排继续使用的资金</w:t>
      </w:r>
    </w:p>
    <w:p w:rsidR="002E4824" w:rsidRDefault="002E4824">
      <w:bookmarkStart w:id="0" w:name="_GoBack"/>
      <w:bookmarkEnd w:id="0"/>
    </w:p>
    <w:sectPr w:rsidR="002E4824" w:rsidSect="002E4824">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207B5" w:rsidRDefault="003207B5" w:rsidP="002E4824">
      <w:r>
        <w:separator/>
      </w:r>
    </w:p>
  </w:endnote>
  <w:endnote w:type="continuationSeparator" w:id="1">
    <w:p w:rsidR="003207B5" w:rsidRDefault="003207B5" w:rsidP="002E482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Calibri">
    <w:panose1 w:val="020F0502020204030204"/>
    <w:charset w:val="00"/>
    <w:family w:val="swiss"/>
    <w:pitch w:val="variable"/>
    <w:sig w:usb0="A00002EF" w:usb1="4000207B" w:usb2="00000000" w:usb3="00000000" w:csb0="0000009F" w:csb1="00000000"/>
  </w:font>
  <w:font w:name="黑体">
    <w:altName w:val="SimHei"/>
    <w:panose1 w:val="02010600030101010101"/>
    <w:charset w:val="86"/>
    <w:family w:val="auto"/>
    <w:pitch w:val="variable"/>
    <w:sig w:usb0="00000001" w:usb1="080E0000" w:usb2="00000010" w:usb3="00000000" w:csb0="00040000" w:csb1="00000000"/>
  </w:font>
  <w:font w:name="仿宋_GB2312">
    <w:altName w:val="微软雅黑"/>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20002A87" w:usb1="80000000" w:usb2="00000008" w:usb3="00000000" w:csb0="000001FF" w:csb1="00000000"/>
  </w:font>
  <w:font w:name="楷体_GB2312">
    <w:altName w:val="微软雅黑"/>
    <w:panose1 w:val="02010609030101010101"/>
    <w:charset w:val="86"/>
    <w:family w:val="modern"/>
    <w:pitch w:val="fixed"/>
    <w:sig w:usb0="00000001" w:usb1="080E0000" w:usb2="00000010" w:usb3="00000000" w:csb0="00040000" w:csb1="00000000"/>
  </w:font>
  <w:font w:name="仿宋">
    <w:altName w:val="Arial Unicode MS"/>
    <w:charset w:val="86"/>
    <w:family w:val="modern"/>
    <w:pitch w:val="default"/>
    <w:sig w:usb0="00000000" w:usb1="38CF7CFA" w:usb2="00000016" w:usb3="00000000" w:csb0="00040001"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4824" w:rsidRDefault="004F58D4">
    <w:pPr>
      <w:pStyle w:val="a5"/>
    </w:pPr>
    <w:r>
      <w:pict>
        <v:shapetype id="_x0000_t202" coordsize="21600,21600" o:spt="202" path="m,l,21600r21600,l21600,xe">
          <v:stroke joinstyle="miter"/>
          <v:path gradientshapeok="t" o:connecttype="rect"/>
        </v:shapetype>
        <v:shape id="_x0000_s1027" type="#_x0000_t202" style="position:absolute;margin-left:0;margin-top:0;width:2in;height:2in;z-index:251660288;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hV+BjrgEAAEsD&#10;AAAOAAAAAAAAAAEAIAAAAB4BAABkcnMvZTJvRG9jLnhtbFBLBQYAAAAABgAGAFkBAAA+BQAAAAA=&#10;" filled="f" stroked="f">
          <v:textbox style="mso-fit-shape-to-text:t" inset="0,0,0,0">
            <w:txbxContent>
              <w:p w:rsidR="002E4824" w:rsidRDefault="004F58D4">
                <w:pPr>
                  <w:snapToGrid w:val="0"/>
                  <w:rPr>
                    <w:sz w:val="18"/>
                  </w:rPr>
                </w:pPr>
                <w:r>
                  <w:rPr>
                    <w:rFonts w:hint="eastAsia"/>
                    <w:sz w:val="18"/>
                  </w:rPr>
                  <w:fldChar w:fldCharType="begin"/>
                </w:r>
                <w:r w:rsidR="009B5BF3">
                  <w:rPr>
                    <w:rFonts w:hint="eastAsia"/>
                    <w:sz w:val="18"/>
                  </w:rPr>
                  <w:instrText xml:space="preserve"> PAGE  \* MERGEFORMAT </w:instrText>
                </w:r>
                <w:r>
                  <w:rPr>
                    <w:rFonts w:hint="eastAsia"/>
                    <w:sz w:val="18"/>
                  </w:rPr>
                  <w:fldChar w:fldCharType="separate"/>
                </w:r>
                <w:r w:rsidR="009B5BF3">
                  <w:rPr>
                    <w:sz w:val="18"/>
                  </w:rPr>
                  <w:t>- 26 -</w:t>
                </w:r>
                <w:r>
                  <w:rPr>
                    <w:rFonts w:hint="eastAsia"/>
                    <w:sz w:val="18"/>
                  </w:rPr>
                  <w:fldChar w:fldCharType="end"/>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E4824" w:rsidRDefault="004F58D4">
    <w:pPr>
      <w:pStyle w:val="a5"/>
    </w:pPr>
    <w:r>
      <w:pict>
        <v:shapetype id="_x0000_t202" coordsize="21600,21600" o:spt="202" path="m,l,21600r21600,l21600,xe">
          <v:stroke joinstyle="miter"/>
          <v:path gradientshapeok="t" o:connecttype="rect"/>
        </v:shapetype>
        <v:shape id="_x0000_s1026" type="#_x0000_t202" style="position:absolute;margin-left:0;margin-top:0;width:2in;height:2in;z-index:25165926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Ax/Dk7rgEAAEsD&#10;AAAOAAAAAAAAAAEAIAAAAB4BAABkcnMvZTJvRG9jLnhtbFBLBQYAAAAABgAGAFkBAAA+BQAAAAA=&#10;" filled="f" stroked="f">
          <v:textbox style="mso-fit-shape-to-text:t" inset="0,0,0,0">
            <w:txbxContent>
              <w:p w:rsidR="002E4824" w:rsidRDefault="004F58D4">
                <w:pPr>
                  <w:snapToGrid w:val="0"/>
                  <w:rPr>
                    <w:sz w:val="18"/>
                  </w:rPr>
                </w:pPr>
                <w:r>
                  <w:rPr>
                    <w:rFonts w:hint="eastAsia"/>
                    <w:sz w:val="18"/>
                  </w:rPr>
                  <w:fldChar w:fldCharType="begin"/>
                </w:r>
                <w:r w:rsidR="009B5BF3">
                  <w:rPr>
                    <w:rFonts w:hint="eastAsia"/>
                    <w:sz w:val="18"/>
                  </w:rPr>
                  <w:instrText xml:space="preserve"> PAGE  \* MERGEFORMAT </w:instrText>
                </w:r>
                <w:r>
                  <w:rPr>
                    <w:rFonts w:hint="eastAsia"/>
                    <w:sz w:val="18"/>
                  </w:rPr>
                  <w:fldChar w:fldCharType="separate"/>
                </w:r>
                <w:r w:rsidR="000C2F91">
                  <w:rPr>
                    <w:noProof/>
                    <w:sz w:val="18"/>
                  </w:rPr>
                  <w:t>- 23 -</w:t>
                </w:r>
                <w:r>
                  <w:rPr>
                    <w:rFonts w:hint="eastAsia"/>
                    <w:sz w:val="18"/>
                  </w:rPr>
                  <w:fldChar w:fldCharType="end"/>
                </w:r>
              </w:p>
            </w:txbxContent>
          </v:textbox>
          <w10:wrap anchorx="margin"/>
        </v:shape>
      </w:pict>
    </w:r>
    <w:r>
      <w:pict>
        <v:shape id="_x0000_s1028" type="#_x0000_t202" style="position:absolute;margin-left:0;margin-top:0;width:2in;height:2in;z-index:251658240;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Bmo4MrgEAAEsD&#10;AAAOAAAAAAAAAAEAIAAAAB4BAABkcnMvZTJvRG9jLnhtbFBLBQYAAAAABgAGAFkBAAA+BQAAAAA=&#10;" filled="f" stroked="f">
          <v:textbox style="mso-fit-shape-to-text:t" inset="0,0,0,0">
            <w:txbxContent>
              <w:p w:rsidR="002E4824" w:rsidRDefault="002E4824"/>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207B5" w:rsidRDefault="003207B5" w:rsidP="002E4824">
      <w:r>
        <w:separator/>
      </w:r>
    </w:p>
  </w:footnote>
  <w:footnote w:type="continuationSeparator" w:id="1">
    <w:p w:rsidR="003207B5" w:rsidRDefault="003207B5" w:rsidP="002E482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9CF592F"/>
    <w:multiLevelType w:val="singleLevel"/>
    <w:tmpl w:val="305EDF2A"/>
    <w:lvl w:ilvl="0">
      <w:start w:val="3"/>
      <w:numFmt w:val="decimal"/>
      <w:lvlText w:val="%1."/>
      <w:lvlJc w:val="left"/>
      <w:pPr>
        <w:tabs>
          <w:tab w:val="left" w:pos="312"/>
        </w:tabs>
      </w:pPr>
      <w:rPr>
        <w:b/>
      </w:rPr>
    </w:lvl>
  </w:abstractNum>
  <w:abstractNum w:abstractNumId="1">
    <w:nsid w:val="5971BE17"/>
    <w:multiLevelType w:val="singleLevel"/>
    <w:tmpl w:val="5971BE17"/>
    <w:lvl w:ilvl="0">
      <w:start w:val="1"/>
      <w:numFmt w:val="chineseCounting"/>
      <w:suff w:val="nothing"/>
      <w:lvlText w:val="%1、"/>
      <w:lvlJc w:val="left"/>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hdrShapeDefaults>
    <o:shapedefaults v:ext="edit" spidmax="13314"/>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772B4F35"/>
    <w:rsid w:val="000042BE"/>
    <w:rsid w:val="00076705"/>
    <w:rsid w:val="000772EC"/>
    <w:rsid w:val="000B5BE3"/>
    <w:rsid w:val="000C1238"/>
    <w:rsid w:val="000C2F91"/>
    <w:rsid w:val="000D732A"/>
    <w:rsid w:val="000D7BF9"/>
    <w:rsid w:val="0010361B"/>
    <w:rsid w:val="00111DB9"/>
    <w:rsid w:val="00125868"/>
    <w:rsid w:val="00155E65"/>
    <w:rsid w:val="0017285A"/>
    <w:rsid w:val="00184BE0"/>
    <w:rsid w:val="00191569"/>
    <w:rsid w:val="001A2AED"/>
    <w:rsid w:val="001B55E3"/>
    <w:rsid w:val="002649C7"/>
    <w:rsid w:val="00270EEB"/>
    <w:rsid w:val="002B6548"/>
    <w:rsid w:val="002E4824"/>
    <w:rsid w:val="002E6028"/>
    <w:rsid w:val="002F1543"/>
    <w:rsid w:val="00300BE8"/>
    <w:rsid w:val="00316881"/>
    <w:rsid w:val="00317088"/>
    <w:rsid w:val="003207B5"/>
    <w:rsid w:val="0034420D"/>
    <w:rsid w:val="00377A79"/>
    <w:rsid w:val="0038721B"/>
    <w:rsid w:val="003B34BF"/>
    <w:rsid w:val="003C2117"/>
    <w:rsid w:val="003C7D12"/>
    <w:rsid w:val="003E09E1"/>
    <w:rsid w:val="004040E0"/>
    <w:rsid w:val="004106A4"/>
    <w:rsid w:val="00424992"/>
    <w:rsid w:val="00436ADB"/>
    <w:rsid w:val="00436E99"/>
    <w:rsid w:val="004371E0"/>
    <w:rsid w:val="004A3AED"/>
    <w:rsid w:val="004D3906"/>
    <w:rsid w:val="004F1FB9"/>
    <w:rsid w:val="004F58D4"/>
    <w:rsid w:val="004F7B33"/>
    <w:rsid w:val="00521B47"/>
    <w:rsid w:val="00523BD1"/>
    <w:rsid w:val="00527D22"/>
    <w:rsid w:val="00541BBD"/>
    <w:rsid w:val="005653C3"/>
    <w:rsid w:val="00571C51"/>
    <w:rsid w:val="005B0D85"/>
    <w:rsid w:val="005B21A5"/>
    <w:rsid w:val="005E4C36"/>
    <w:rsid w:val="005F74E9"/>
    <w:rsid w:val="006131EE"/>
    <w:rsid w:val="00652161"/>
    <w:rsid w:val="00663F0A"/>
    <w:rsid w:val="00684231"/>
    <w:rsid w:val="006A27B4"/>
    <w:rsid w:val="006B02E5"/>
    <w:rsid w:val="006C0676"/>
    <w:rsid w:val="006C6564"/>
    <w:rsid w:val="007026BE"/>
    <w:rsid w:val="00707BF9"/>
    <w:rsid w:val="00710162"/>
    <w:rsid w:val="007262A1"/>
    <w:rsid w:val="007301EF"/>
    <w:rsid w:val="0074790D"/>
    <w:rsid w:val="00770AAE"/>
    <w:rsid w:val="007822B1"/>
    <w:rsid w:val="007A31B3"/>
    <w:rsid w:val="007C24E3"/>
    <w:rsid w:val="007C2FE1"/>
    <w:rsid w:val="007C5196"/>
    <w:rsid w:val="007E4AA6"/>
    <w:rsid w:val="007E6F80"/>
    <w:rsid w:val="008065F5"/>
    <w:rsid w:val="00807B90"/>
    <w:rsid w:val="00820259"/>
    <w:rsid w:val="0082466F"/>
    <w:rsid w:val="00825C5E"/>
    <w:rsid w:val="0084102E"/>
    <w:rsid w:val="00876CAC"/>
    <w:rsid w:val="008826DC"/>
    <w:rsid w:val="008A4753"/>
    <w:rsid w:val="008D35D9"/>
    <w:rsid w:val="0090112C"/>
    <w:rsid w:val="00910A7D"/>
    <w:rsid w:val="0092583D"/>
    <w:rsid w:val="00941E31"/>
    <w:rsid w:val="0096341D"/>
    <w:rsid w:val="00963CB8"/>
    <w:rsid w:val="00990222"/>
    <w:rsid w:val="0099134F"/>
    <w:rsid w:val="009A4CE1"/>
    <w:rsid w:val="009A7B40"/>
    <w:rsid w:val="009B5BF3"/>
    <w:rsid w:val="009C22D7"/>
    <w:rsid w:val="009E1DA1"/>
    <w:rsid w:val="00A37D4A"/>
    <w:rsid w:val="00A42F2E"/>
    <w:rsid w:val="00A71ECB"/>
    <w:rsid w:val="00A82A40"/>
    <w:rsid w:val="00A83155"/>
    <w:rsid w:val="00AC59A4"/>
    <w:rsid w:val="00B13D06"/>
    <w:rsid w:val="00B25CE3"/>
    <w:rsid w:val="00BA0CAC"/>
    <w:rsid w:val="00BB2E65"/>
    <w:rsid w:val="00BB4A07"/>
    <w:rsid w:val="00BB5544"/>
    <w:rsid w:val="00BC0957"/>
    <w:rsid w:val="00BD2A09"/>
    <w:rsid w:val="00C142B7"/>
    <w:rsid w:val="00C37A63"/>
    <w:rsid w:val="00CC4C33"/>
    <w:rsid w:val="00D0423B"/>
    <w:rsid w:val="00D276F4"/>
    <w:rsid w:val="00D40325"/>
    <w:rsid w:val="00D45B30"/>
    <w:rsid w:val="00D85C35"/>
    <w:rsid w:val="00D85D30"/>
    <w:rsid w:val="00DD38D5"/>
    <w:rsid w:val="00DD5FC8"/>
    <w:rsid w:val="00DD64B8"/>
    <w:rsid w:val="00E30A25"/>
    <w:rsid w:val="00E5239C"/>
    <w:rsid w:val="00E53A98"/>
    <w:rsid w:val="00E56C99"/>
    <w:rsid w:val="00EA1FFF"/>
    <w:rsid w:val="00ED195D"/>
    <w:rsid w:val="00F0444F"/>
    <w:rsid w:val="00F051BE"/>
    <w:rsid w:val="00F477D1"/>
    <w:rsid w:val="00F63EC8"/>
    <w:rsid w:val="00F7310F"/>
    <w:rsid w:val="00F81BD1"/>
    <w:rsid w:val="00F91BFF"/>
    <w:rsid w:val="00F96988"/>
    <w:rsid w:val="00FA7564"/>
    <w:rsid w:val="01B2012B"/>
    <w:rsid w:val="061F4045"/>
    <w:rsid w:val="07952032"/>
    <w:rsid w:val="10553948"/>
    <w:rsid w:val="12F11BAA"/>
    <w:rsid w:val="17991C43"/>
    <w:rsid w:val="1AD73614"/>
    <w:rsid w:val="1AF46944"/>
    <w:rsid w:val="21D91258"/>
    <w:rsid w:val="28295F9E"/>
    <w:rsid w:val="2E617F1E"/>
    <w:rsid w:val="2FB53508"/>
    <w:rsid w:val="34181DFC"/>
    <w:rsid w:val="34C40B73"/>
    <w:rsid w:val="352A66E5"/>
    <w:rsid w:val="3C2E170A"/>
    <w:rsid w:val="48F77FBE"/>
    <w:rsid w:val="4C21424B"/>
    <w:rsid w:val="4F4942B3"/>
    <w:rsid w:val="50AF4142"/>
    <w:rsid w:val="539C2FB1"/>
    <w:rsid w:val="54EB554C"/>
    <w:rsid w:val="5A6F0E65"/>
    <w:rsid w:val="5D68695B"/>
    <w:rsid w:val="654578BA"/>
    <w:rsid w:val="769C364E"/>
    <w:rsid w:val="772B4F35"/>
    <w:rsid w:val="7DBE58AD"/>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unhideWhenUsed="1" w:qFormat="1"/>
    <w:lsdException w:name="annotation text" w:uiPriority="99" w:unhideWhenUsed="1" w:qFormat="1"/>
    <w:lsdException w:name="header" w:qFormat="1"/>
    <w:lsdException w:name="footer" w:uiPriority="99" w:unhideWhenUsed="1" w:qFormat="1"/>
    <w:lsdException w:name="caption" w:semiHidden="1" w:unhideWhenUsed="1" w:qFormat="1"/>
    <w:lsdException w:name="footnote reference" w:uiPriority="99" w:unhideWhenUsed="1" w:qFormat="1"/>
    <w:lsdException w:name="annotation reference"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E4824"/>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unhideWhenUsed/>
    <w:qFormat/>
    <w:rsid w:val="002E4824"/>
    <w:pPr>
      <w:jc w:val="left"/>
    </w:pPr>
  </w:style>
  <w:style w:type="paragraph" w:styleId="a4">
    <w:name w:val="Balloon Text"/>
    <w:basedOn w:val="a"/>
    <w:link w:val="Char"/>
    <w:qFormat/>
    <w:rsid w:val="002E4824"/>
    <w:rPr>
      <w:sz w:val="18"/>
      <w:szCs w:val="18"/>
    </w:rPr>
  </w:style>
  <w:style w:type="paragraph" w:styleId="a5">
    <w:name w:val="footer"/>
    <w:basedOn w:val="a"/>
    <w:uiPriority w:val="99"/>
    <w:unhideWhenUsed/>
    <w:qFormat/>
    <w:rsid w:val="002E4824"/>
    <w:pPr>
      <w:tabs>
        <w:tab w:val="center" w:pos="4153"/>
        <w:tab w:val="right" w:pos="8306"/>
      </w:tabs>
      <w:snapToGrid w:val="0"/>
      <w:jc w:val="left"/>
    </w:pPr>
    <w:rPr>
      <w:sz w:val="18"/>
      <w:szCs w:val="18"/>
    </w:rPr>
  </w:style>
  <w:style w:type="paragraph" w:styleId="a6">
    <w:name w:val="header"/>
    <w:basedOn w:val="a"/>
    <w:link w:val="Char0"/>
    <w:qFormat/>
    <w:rsid w:val="002E4824"/>
    <w:pPr>
      <w:pBdr>
        <w:bottom w:val="single" w:sz="6" w:space="1" w:color="auto"/>
      </w:pBdr>
      <w:tabs>
        <w:tab w:val="center" w:pos="4153"/>
        <w:tab w:val="right" w:pos="8306"/>
      </w:tabs>
      <w:snapToGrid w:val="0"/>
      <w:jc w:val="center"/>
    </w:pPr>
    <w:rPr>
      <w:sz w:val="18"/>
      <w:szCs w:val="18"/>
    </w:rPr>
  </w:style>
  <w:style w:type="paragraph" w:styleId="a7">
    <w:name w:val="footnote text"/>
    <w:basedOn w:val="a"/>
    <w:link w:val="Char1"/>
    <w:uiPriority w:val="99"/>
    <w:unhideWhenUsed/>
    <w:qFormat/>
    <w:rsid w:val="002E4824"/>
    <w:pPr>
      <w:snapToGrid w:val="0"/>
      <w:jc w:val="left"/>
    </w:pPr>
    <w:rPr>
      <w:sz w:val="18"/>
    </w:rPr>
  </w:style>
  <w:style w:type="character" w:styleId="a8">
    <w:name w:val="annotation reference"/>
    <w:basedOn w:val="a0"/>
    <w:qFormat/>
    <w:rsid w:val="002E4824"/>
    <w:rPr>
      <w:sz w:val="21"/>
      <w:szCs w:val="21"/>
    </w:rPr>
  </w:style>
  <w:style w:type="character" w:styleId="a9">
    <w:name w:val="footnote reference"/>
    <w:basedOn w:val="a0"/>
    <w:uiPriority w:val="99"/>
    <w:unhideWhenUsed/>
    <w:qFormat/>
    <w:rsid w:val="002E4824"/>
    <w:rPr>
      <w:vertAlign w:val="superscript"/>
    </w:rPr>
  </w:style>
  <w:style w:type="character" w:customStyle="1" w:styleId="Char">
    <w:name w:val="批注框文本 Char"/>
    <w:basedOn w:val="a0"/>
    <w:link w:val="a4"/>
    <w:qFormat/>
    <w:rsid w:val="002E4824"/>
    <w:rPr>
      <w:rFonts w:ascii="Calibri" w:hAnsi="Calibri"/>
      <w:kern w:val="2"/>
      <w:sz w:val="18"/>
      <w:szCs w:val="18"/>
    </w:rPr>
  </w:style>
  <w:style w:type="character" w:customStyle="1" w:styleId="Char0">
    <w:name w:val="页眉 Char"/>
    <w:basedOn w:val="a0"/>
    <w:link w:val="a6"/>
    <w:rsid w:val="002E4824"/>
    <w:rPr>
      <w:rFonts w:ascii="Calibri" w:hAnsi="Calibri"/>
      <w:kern w:val="2"/>
      <w:sz w:val="18"/>
      <w:szCs w:val="18"/>
    </w:rPr>
  </w:style>
  <w:style w:type="character" w:customStyle="1" w:styleId="font41">
    <w:name w:val="font41"/>
    <w:basedOn w:val="a0"/>
    <w:rsid w:val="002E4824"/>
    <w:rPr>
      <w:rFonts w:ascii="宋体" w:eastAsia="宋体" w:hAnsi="宋体" w:cs="宋体" w:hint="eastAsia"/>
      <w:color w:val="000000"/>
      <w:sz w:val="24"/>
      <w:szCs w:val="24"/>
      <w:u w:val="none"/>
    </w:rPr>
  </w:style>
  <w:style w:type="character" w:customStyle="1" w:styleId="Char1">
    <w:name w:val="脚注文本 Char"/>
    <w:basedOn w:val="a0"/>
    <w:link w:val="a7"/>
    <w:uiPriority w:val="99"/>
    <w:qFormat/>
    <w:rsid w:val="002E4824"/>
    <w:rPr>
      <w:rFonts w:ascii="Calibri" w:hAnsi="Calibri"/>
      <w:kern w:val="2"/>
      <w:sz w:val="18"/>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Info spid="_x0000_s1028"/>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666</TotalTime>
  <Pages>33</Pages>
  <Words>2119</Words>
  <Characters>12083</Characters>
  <Application>Microsoft Office Word</Application>
  <DocSecurity>0</DocSecurity>
  <Lines>100</Lines>
  <Paragraphs>28</Paragraphs>
  <ScaleCrop>false</ScaleCrop>
  <Company>微软中国</Company>
  <LinksUpToDate>false</LinksUpToDate>
  <CharactersWithSpaces>14174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微软用户</cp:lastModifiedBy>
  <cp:revision>103</cp:revision>
  <cp:lastPrinted>2020-10-21T00:47:00Z</cp:lastPrinted>
  <dcterms:created xsi:type="dcterms:W3CDTF">2019-09-11T09:19:00Z</dcterms:created>
  <dcterms:modified xsi:type="dcterms:W3CDTF">2021-06-17T10:04:00Z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2052-11.1.0.10069</vt:lpwstr>
  </property>
</Properties>
</file>