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jc w:val="center"/>
        <w:rPr>
          <w:rFonts w:ascii="方正小标宋简体" w:hAnsi="Times New Roman" w:eastAsia="方正小标宋简体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Times New Roman" w:eastAsia="方正小标宋简体"/>
          <w:sz w:val="44"/>
          <w:szCs w:val="44"/>
        </w:rPr>
      </w:pPr>
      <w:r>
        <w:rPr>
          <w:rFonts w:ascii="方正小标宋简体" w:hAnsi="Times New Roman" w:eastAsia="方正小标宋简体"/>
          <w:sz w:val="44"/>
          <w:szCs w:val="44"/>
        </w:rPr>
        <w:t>20</w:t>
      </w:r>
      <w:r>
        <w:rPr>
          <w:rFonts w:hint="eastAsia" w:ascii="方正小标宋简体" w:hAnsi="Times New Roman" w:eastAsia="方正小标宋简体"/>
          <w:sz w:val="44"/>
          <w:szCs w:val="44"/>
          <w:lang w:val="en-US" w:eastAsia="zh-CN"/>
        </w:rPr>
        <w:t>20</w:t>
      </w:r>
      <w:r>
        <w:rPr>
          <w:rFonts w:hint="eastAsia" w:ascii="方正小标宋简体" w:hAnsi="Times New Roman" w:eastAsia="方正小标宋简体"/>
          <w:sz w:val="44"/>
          <w:szCs w:val="44"/>
        </w:rPr>
        <w:t>年度项城市委调查研究室预算公开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Times New Roman" w:eastAsia="仿宋_GB2312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center"/>
        <w:rPr>
          <w:rFonts w:ascii="黑体" w:hAnsi="Times New Roman" w:eastAsia="黑体" w:cs="黑体"/>
          <w:sz w:val="36"/>
          <w:szCs w:val="36"/>
        </w:rPr>
      </w:pPr>
      <w:r>
        <w:rPr>
          <w:rFonts w:hint="eastAsia" w:ascii="黑体" w:hAnsi="Times New Roman" w:eastAsia="黑体" w:cs="黑体"/>
          <w:sz w:val="36"/>
          <w:szCs w:val="36"/>
        </w:rPr>
        <w:t>目</w:t>
      </w:r>
      <w:r>
        <w:rPr>
          <w:rFonts w:ascii="黑体" w:hAnsi="Times New Roman" w:eastAsia="黑体" w:cs="黑体"/>
          <w:spacing w:val="2"/>
          <w:sz w:val="36"/>
          <w:szCs w:val="36"/>
        </w:rPr>
        <w:t xml:space="preserve"> </w:t>
      </w:r>
      <w:r>
        <w:rPr>
          <w:rFonts w:hint="eastAsia" w:ascii="黑体" w:hAnsi="Times New Roman" w:eastAsia="黑体" w:cs="黑体"/>
          <w:sz w:val="36"/>
          <w:szCs w:val="36"/>
        </w:rPr>
        <w:t>录</w:t>
      </w:r>
    </w:p>
    <w:p>
      <w:pPr>
        <w:kinsoku w:val="0"/>
        <w:overflowPunct w:val="0"/>
        <w:adjustRightInd w:val="0"/>
        <w:snapToGrid w:val="0"/>
        <w:spacing w:line="360" w:lineRule="auto"/>
        <w:ind w:right="3569"/>
        <w:jc w:val="left"/>
        <w:rPr>
          <w:rFonts w:ascii="黑体" w:hAnsi="Times New Roman" w:eastAsia="黑体" w:cs="黑体"/>
          <w:w w:val="99"/>
          <w:sz w:val="32"/>
          <w:szCs w:val="32"/>
        </w:rPr>
      </w:pPr>
      <w:r>
        <w:rPr>
          <w:rFonts w:hint="eastAsia" w:ascii="黑体" w:hAnsi="Times New Roman" w:eastAsia="黑体" w:cs="黑体"/>
          <w:sz w:val="32"/>
          <w:szCs w:val="32"/>
        </w:rPr>
        <w:t>第一部分</w:t>
      </w:r>
      <w:r>
        <w:rPr>
          <w:rFonts w:hint="eastAsia" w:ascii="黑体" w:hAnsi="黑体" w:eastAsia="黑体"/>
          <w:sz w:val="32"/>
          <w:szCs w:val="32"/>
        </w:rPr>
        <w:t>：</w:t>
      </w:r>
      <w:r>
        <w:rPr>
          <w:rFonts w:hint="eastAsia" w:ascii="黑体" w:hAnsi="黑体" w:eastAsia="黑体" w:cs="仿宋_GB2312"/>
          <w:sz w:val="32"/>
          <w:szCs w:val="32"/>
        </w:rPr>
        <w:t>主要职能</w:t>
      </w:r>
      <w:r>
        <w:rPr>
          <w:rFonts w:ascii="黑体" w:hAnsi="Times New Roman" w:eastAsia="黑体" w:cs="黑体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ascii="黑体" w:hAnsi="Times New Roman" w:eastAsia="黑体" w:cs="黑体"/>
          <w:w w:val="99"/>
          <w:sz w:val="32"/>
          <w:szCs w:val="32"/>
        </w:rPr>
      </w:pPr>
      <w:r>
        <w:rPr>
          <w:rFonts w:hint="eastAsia" w:ascii="黑体" w:hAnsi="Times New Roman" w:eastAsia="黑体" w:cs="黑体"/>
          <w:sz w:val="32"/>
          <w:szCs w:val="32"/>
        </w:rPr>
        <w:t>第二部分</w:t>
      </w:r>
      <w:r>
        <w:rPr>
          <w:rFonts w:ascii="黑体" w:hAnsi="Times New Roman" w:eastAsia="黑体" w:cs="黑体"/>
          <w:sz w:val="32"/>
          <w:szCs w:val="32"/>
        </w:rPr>
        <w:t>:20</w:t>
      </w:r>
      <w:r>
        <w:rPr>
          <w:rFonts w:hint="eastAsia" w:ascii="黑体" w:hAnsi="Times New Roman" w:eastAsia="黑体" w:cs="黑体"/>
          <w:sz w:val="32"/>
          <w:szCs w:val="32"/>
          <w:lang w:val="en-US" w:eastAsia="zh-CN"/>
        </w:rPr>
        <w:t>20</w:t>
      </w:r>
      <w:r>
        <w:rPr>
          <w:rFonts w:hint="eastAsia" w:ascii="黑体" w:hAnsi="Times New Roman" w:eastAsia="黑体" w:cs="黑体"/>
          <w:sz w:val="32"/>
          <w:szCs w:val="32"/>
        </w:rPr>
        <w:t>年度部门预算情况说明</w:t>
      </w:r>
      <w:r>
        <w:rPr>
          <w:rFonts w:ascii="黑体" w:hAnsi="Times New Roman" w:eastAsia="黑体" w:cs="黑体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黑体" w:hAnsi="Times New Roman" w:eastAsia="黑体" w:cs="黑体"/>
          <w:sz w:val="32"/>
          <w:szCs w:val="32"/>
        </w:rPr>
      </w:pPr>
      <w:r>
        <w:rPr>
          <w:rFonts w:hint="eastAsia" w:ascii="黑体" w:hAnsi="Times New Roman" w:eastAsia="黑体" w:cs="黑体"/>
          <w:sz w:val="32"/>
          <w:szCs w:val="32"/>
        </w:rPr>
        <w:t>附件：</w:t>
      </w:r>
      <w:r>
        <w:rPr>
          <w:rFonts w:ascii="黑体" w:hAnsi="Times New Roman" w:eastAsia="黑体" w:cs="黑体"/>
          <w:sz w:val="32"/>
          <w:szCs w:val="32"/>
        </w:rPr>
        <w:t xml:space="preserve"> 20</w:t>
      </w:r>
      <w:r>
        <w:rPr>
          <w:rFonts w:hint="eastAsia" w:ascii="黑体" w:hAnsi="Times New Roman" w:eastAsia="黑体" w:cs="黑体"/>
          <w:sz w:val="32"/>
          <w:szCs w:val="32"/>
          <w:lang w:val="en-US" w:eastAsia="zh-CN"/>
        </w:rPr>
        <w:t>20</w:t>
      </w:r>
      <w:r>
        <w:rPr>
          <w:rFonts w:hint="eastAsia" w:ascii="黑体" w:hAnsi="Times New Roman" w:eastAsia="黑体" w:cs="黑体"/>
          <w:sz w:val="32"/>
          <w:szCs w:val="32"/>
        </w:rPr>
        <w:t>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一、</w:t>
      </w:r>
      <w:r>
        <w:rPr>
          <w:rFonts w:hint="eastAsia" w:ascii="仿宋_GB2312" w:eastAsia="仿宋_GB2312"/>
          <w:sz w:val="32"/>
          <w:szCs w:val="32"/>
        </w:rPr>
        <w:t>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二、</w:t>
      </w:r>
      <w:r>
        <w:rPr>
          <w:rFonts w:hint="eastAsia" w:ascii="仿宋_GB2312" w:eastAsia="仿宋_GB2312"/>
          <w:sz w:val="32"/>
          <w:szCs w:val="32"/>
        </w:rPr>
        <w:t>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三、</w:t>
      </w:r>
      <w:r>
        <w:rPr>
          <w:rFonts w:hint="eastAsia" w:ascii="仿宋_GB2312" w:eastAsia="仿宋_GB2312"/>
          <w:sz w:val="32"/>
          <w:szCs w:val="32"/>
        </w:rPr>
        <w:t>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四、</w:t>
      </w:r>
      <w:r>
        <w:rPr>
          <w:rFonts w:hint="eastAsia" w:ascii="仿宋_GB2312" w:eastAsia="仿宋_GB2312"/>
          <w:sz w:val="32"/>
          <w:szCs w:val="32"/>
        </w:rPr>
        <w:t>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五、</w:t>
      </w:r>
      <w:r>
        <w:rPr>
          <w:rFonts w:hint="eastAsia" w:ascii="仿宋_GB2312" w:eastAsia="仿宋_GB2312"/>
          <w:sz w:val="32"/>
          <w:szCs w:val="32"/>
        </w:rPr>
        <w:t>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六、</w:t>
      </w:r>
      <w:r>
        <w:rPr>
          <w:rFonts w:hint="eastAsia" w:ascii="仿宋_GB2312" w:eastAsia="仿宋_GB2312"/>
          <w:sz w:val="32"/>
          <w:szCs w:val="32"/>
        </w:rPr>
        <w:t>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七、</w:t>
      </w:r>
      <w:r>
        <w:rPr>
          <w:rFonts w:hint="eastAsia" w:ascii="仿宋_GB2312" w:eastAsia="仿宋_GB2312"/>
          <w:sz w:val="32"/>
          <w:szCs w:val="32"/>
        </w:rPr>
        <w:t>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八、</w:t>
      </w:r>
      <w:r>
        <w:rPr>
          <w:rFonts w:hint="eastAsia" w:ascii="仿宋_GB2312" w:eastAsia="仿宋_GB2312"/>
          <w:sz w:val="32"/>
          <w:szCs w:val="32"/>
        </w:rPr>
        <w:t>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九、国有资本经营预算支出情况表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第三部分：名词解释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eastAsia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3060" w:firstLineChars="850"/>
        <w:rPr>
          <w:rFonts w:hint="eastAsia" w:ascii="黑体" w:hAnsi="黑体" w:eastAsia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3060" w:firstLineChars="850"/>
        <w:rPr>
          <w:rFonts w:hint="eastAsia" w:ascii="黑体" w:hAnsi="黑体" w:eastAsia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3060" w:firstLineChars="850"/>
        <w:rPr>
          <w:rFonts w:hint="eastAsia" w:ascii="黑体" w:hAnsi="黑体" w:eastAsia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3060" w:firstLineChars="850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第一部分</w:t>
      </w:r>
    </w:p>
    <w:p>
      <w:pPr>
        <w:adjustRightInd w:val="0"/>
        <w:snapToGrid w:val="0"/>
        <w:spacing w:line="360" w:lineRule="auto"/>
        <w:ind w:firstLine="640" w:firstLineChars="200"/>
        <w:outlineLvl w:val="0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 xml:space="preserve">                 </w:t>
      </w:r>
    </w:p>
    <w:p>
      <w:pPr>
        <w:adjustRightInd w:val="0"/>
        <w:snapToGrid w:val="0"/>
        <w:spacing w:line="360" w:lineRule="auto"/>
        <w:ind w:firstLine="640" w:firstLineChars="200"/>
        <w:outlineLvl w:val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一、主要职能</w:t>
      </w:r>
    </w:p>
    <w:p>
      <w:pPr>
        <w:widowControl/>
        <w:shd w:val="clear" w:color="auto" w:fill="FFFFFF"/>
        <w:spacing w:line="450" w:lineRule="atLeast"/>
        <w:ind w:firstLine="640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1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、围绕市委的中心工作和发展战略，按照全局性、方向性、政策性、超前性的要求，开展调查研究，为市委提供决策依据。</w:t>
      </w:r>
    </w:p>
    <w:p>
      <w:pPr>
        <w:widowControl/>
        <w:shd w:val="clear" w:color="auto" w:fill="FFFFFF"/>
        <w:spacing w:line="450" w:lineRule="atLeast"/>
        <w:ind w:firstLine="640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、代表市委、市政府拟定调研课题，，分解和下达调研任务，组织优秀调研成果评选活动。</w:t>
      </w:r>
    </w:p>
    <w:p>
      <w:pPr>
        <w:widowControl/>
        <w:shd w:val="clear" w:color="auto" w:fill="FFFFFF"/>
        <w:spacing w:line="450" w:lineRule="atLeast"/>
        <w:ind w:firstLine="640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、及时组织召开调研工作协调会，就调查研究工作的方向、任务和存在问题提出指导性的意见，并对各单位的调研工作进行督促和检查。</w:t>
      </w:r>
    </w:p>
    <w:p>
      <w:pPr>
        <w:widowControl/>
        <w:shd w:val="clear" w:color="auto" w:fill="FFFFFF"/>
        <w:spacing w:line="450" w:lineRule="atLeast"/>
        <w:ind w:firstLine="640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4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、组织有关部门协同完成重大课题的调研任务。</w:t>
      </w:r>
    </w:p>
    <w:p>
      <w:pPr>
        <w:widowControl/>
        <w:shd w:val="clear" w:color="auto" w:fill="FFFFFF"/>
        <w:spacing w:line="450" w:lineRule="atLeast"/>
        <w:ind w:firstLine="640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5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、承办市委、市政府交办的其他事项。</w:t>
      </w:r>
    </w:p>
    <w:p>
      <w:pPr>
        <w:widowControl/>
        <w:spacing w:line="270" w:lineRule="atLeast"/>
        <w:ind w:right="3570" w:firstLine="960"/>
        <w:jc w:val="left"/>
        <w:rPr>
          <w:rFonts w:hint="eastAsia" w:ascii="黑体" w:hAnsi="黑体" w:eastAsia="黑体" w:cs="黑体"/>
          <w:b/>
          <w:bCs/>
        </w:rPr>
      </w:pPr>
      <w:r>
        <w:rPr>
          <w:rStyle w:val="7"/>
          <w:rFonts w:hint="eastAsia" w:ascii="黑体" w:hAnsi="黑体" w:eastAsia="黑体" w:cs="黑体"/>
          <w:color w:val="000000"/>
          <w:sz w:val="32"/>
          <w:szCs w:val="32"/>
        </w:rPr>
        <w:t>二、</w:t>
      </w:r>
      <w:r>
        <w:rPr>
          <w:rFonts w:hint="eastAsia" w:ascii="黑体" w:hAnsi="黑体" w:eastAsia="黑体" w:cs="黑体"/>
          <w:b/>
          <w:bCs/>
          <w:color w:val="666666"/>
          <w:kern w:val="0"/>
          <w:sz w:val="32"/>
          <w:szCs w:val="32"/>
          <w:shd w:val="clear" w:color="auto" w:fill="FFFFFF"/>
        </w:rPr>
        <w:t>部门预算单位构成</w:t>
      </w: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0"/>
        <w:jc w:val="left"/>
        <w:rPr>
          <w:b/>
          <w:bCs/>
        </w:rPr>
      </w:pPr>
      <w:r>
        <w:rPr>
          <w:rFonts w:hint="eastAsia" w:ascii="仿宋_GB2312" w:hAnsi="宋体" w:eastAsia="仿宋_GB2312" w:cs="仿宋_GB2312"/>
          <w:b/>
          <w:bCs/>
          <w:color w:val="666666"/>
          <w:kern w:val="0"/>
          <w:sz w:val="32"/>
          <w:szCs w:val="32"/>
          <w:shd w:val="clear" w:color="auto" w:fill="FFFFFF"/>
        </w:rPr>
        <w:t>我单位</w:t>
      </w:r>
      <w:r>
        <w:rPr>
          <w:rFonts w:ascii="仿宋_GB2312" w:hAnsi="宋体" w:eastAsia="仿宋_GB2312" w:cs="仿宋_GB2312"/>
          <w:b/>
          <w:bCs/>
          <w:color w:val="666666"/>
          <w:kern w:val="0"/>
          <w:sz w:val="32"/>
          <w:szCs w:val="32"/>
          <w:shd w:val="clear" w:color="auto" w:fill="FFFFFF"/>
        </w:rPr>
        <w:t>预算涵盖的预算单位包括：</w:t>
      </w:r>
      <w:r>
        <w:rPr>
          <w:rFonts w:hint="eastAsia" w:ascii="仿宋_GB2312" w:hAnsi="宋体" w:eastAsia="仿宋_GB2312" w:cs="仿宋_GB2312"/>
          <w:b/>
          <w:bCs/>
          <w:color w:val="666666"/>
          <w:kern w:val="0"/>
          <w:sz w:val="32"/>
          <w:szCs w:val="32"/>
          <w:shd w:val="clear" w:color="auto" w:fill="FFFFFF"/>
        </w:rPr>
        <w:t>调查研究室</w:t>
      </w:r>
      <w:r>
        <w:rPr>
          <w:rFonts w:ascii="仿宋_GB2312" w:hAnsi="宋体" w:eastAsia="仿宋_GB2312" w:cs="仿宋_GB2312"/>
          <w:b/>
          <w:bCs/>
          <w:color w:val="666666"/>
          <w:kern w:val="0"/>
          <w:sz w:val="32"/>
          <w:szCs w:val="32"/>
          <w:shd w:val="clear" w:color="auto" w:fill="FFFFFF"/>
        </w:rPr>
        <w:t>机关单位</w:t>
      </w:r>
      <w:r>
        <w:rPr>
          <w:rFonts w:hint="eastAsia" w:ascii="仿宋_GB2312" w:hAnsi="宋体" w:eastAsia="仿宋_GB2312" w:cs="仿宋_GB2312"/>
          <w:b/>
          <w:bCs/>
          <w:color w:val="666666"/>
          <w:kern w:val="0"/>
          <w:sz w:val="32"/>
          <w:szCs w:val="32"/>
          <w:shd w:val="clear" w:color="auto" w:fill="FFFFFF"/>
        </w:rPr>
        <w:t>,</w:t>
      </w:r>
      <w:r>
        <w:rPr>
          <w:rFonts w:hint="eastAsia" w:ascii="仿宋_GB2312" w:hAnsi="宋体" w:eastAsia="仿宋_GB2312" w:cs="宋体"/>
          <w:b/>
          <w:bCs/>
          <w:color w:val="000000"/>
          <w:kern w:val="0"/>
          <w:sz w:val="32"/>
          <w:szCs w:val="32"/>
        </w:rPr>
        <w:t>本单位没有二级机构。</w:t>
      </w:r>
      <w:r>
        <w:rPr>
          <w:rFonts w:hint="eastAsia" w:ascii="仿宋_GB2312" w:hAnsi="宋体" w:eastAsia="仿宋_GB2312" w:cs="仿宋_GB2312"/>
          <w:b/>
          <w:bCs/>
          <w:color w:val="666666"/>
          <w:kern w:val="0"/>
          <w:sz w:val="32"/>
          <w:szCs w:val="32"/>
          <w:shd w:val="clear" w:color="auto" w:fill="FFFFFF"/>
        </w:rPr>
        <w:t>本单位编制</w:t>
      </w:r>
      <w:r>
        <w:rPr>
          <w:rFonts w:hint="eastAsia" w:ascii="仿宋_GB2312" w:hAnsi="宋体" w:eastAsia="仿宋_GB2312" w:cs="仿宋_GB2312"/>
          <w:b/>
          <w:bCs/>
          <w:color w:val="666666"/>
          <w:kern w:val="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hint="eastAsia" w:ascii="仿宋_GB2312" w:hAnsi="宋体" w:eastAsia="仿宋_GB2312" w:cs="仿宋_GB2312"/>
          <w:b/>
          <w:bCs/>
          <w:color w:val="666666"/>
          <w:kern w:val="0"/>
          <w:sz w:val="32"/>
          <w:szCs w:val="32"/>
          <w:shd w:val="clear" w:color="auto" w:fill="FFFFFF"/>
        </w:rPr>
        <w:t>人，设主任一名，副主任两名。</w:t>
      </w:r>
      <w:bookmarkStart w:id="0" w:name="_GoBack"/>
      <w:bookmarkEnd w:id="0"/>
    </w:p>
    <w:p>
      <w:pPr>
        <w:pStyle w:val="4"/>
        <w:widowControl/>
        <w:spacing w:line="300" w:lineRule="atLeast"/>
        <w:ind w:firstLine="643" w:firstLineChars="200"/>
        <w:rPr>
          <w:rStyle w:val="7"/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450" w:lineRule="atLeast"/>
        <w:ind w:firstLine="640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3420" w:firstLineChars="950"/>
        <w:rPr>
          <w:rFonts w:hint="eastAsia" w:ascii="黑体" w:hAnsi="Times New Roman" w:eastAsia="黑体" w:cs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3420" w:firstLineChars="950"/>
        <w:rPr>
          <w:rFonts w:hint="eastAsia" w:ascii="黑体" w:hAnsi="Times New Roman" w:eastAsia="黑体" w:cs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3420" w:firstLineChars="950"/>
        <w:rPr>
          <w:rFonts w:hint="eastAsia" w:ascii="黑体" w:hAnsi="Times New Roman" w:eastAsia="黑体" w:cs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3420" w:firstLineChars="950"/>
        <w:rPr>
          <w:rFonts w:ascii="黑体" w:hAnsi="Times New Roman" w:eastAsia="黑体" w:cs="黑体"/>
          <w:spacing w:val="-38"/>
          <w:sz w:val="36"/>
          <w:szCs w:val="36"/>
        </w:rPr>
      </w:pPr>
      <w:r>
        <w:rPr>
          <w:rFonts w:hint="eastAsia" w:ascii="黑体" w:hAnsi="Times New Roman" w:eastAsia="黑体" w:cs="黑体"/>
          <w:sz w:val="36"/>
          <w:szCs w:val="36"/>
        </w:rPr>
        <w:t>第二部分</w:t>
      </w:r>
    </w:p>
    <w:p>
      <w:pPr>
        <w:adjustRightInd w:val="0"/>
        <w:snapToGrid w:val="0"/>
        <w:spacing w:line="360" w:lineRule="auto"/>
        <w:jc w:val="center"/>
        <w:rPr>
          <w:rFonts w:ascii="黑体" w:hAnsi="黑体" w:eastAsia="黑体"/>
          <w:sz w:val="32"/>
          <w:szCs w:val="32"/>
        </w:rPr>
      </w:pPr>
      <w:r>
        <w:rPr>
          <w:rFonts w:ascii="黑体" w:hAnsi="Times New Roman" w:eastAsia="黑体" w:cs="黑体"/>
          <w:sz w:val="32"/>
          <w:szCs w:val="32"/>
        </w:rPr>
        <w:t>20</w:t>
      </w:r>
      <w:r>
        <w:rPr>
          <w:rFonts w:hint="eastAsia" w:ascii="黑体" w:hAnsi="Times New Roman" w:eastAsia="黑体" w:cs="黑体"/>
          <w:sz w:val="32"/>
          <w:szCs w:val="32"/>
          <w:lang w:val="en-US" w:eastAsia="zh-CN"/>
        </w:rPr>
        <w:t>20</w:t>
      </w:r>
      <w:r>
        <w:rPr>
          <w:rFonts w:hint="eastAsia" w:ascii="黑体" w:hAnsi="Times New Roman" w:eastAsia="黑体" w:cs="黑体"/>
          <w:sz w:val="32"/>
          <w:szCs w:val="32"/>
        </w:rPr>
        <w:t>年度部门预算情况说明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outlineLvl w:val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一、收入支出预算总体情况说明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宋体" w:eastAsia="仿宋_GB2312" w:cs="Courier New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项城市委调查研究室</w:t>
      </w:r>
      <w:r>
        <w:rPr>
          <w:rFonts w:ascii="仿宋_GB2312" w:hAnsi="宋体" w:eastAsia="仿宋_GB2312" w:cs="Courier New"/>
          <w:sz w:val="32"/>
          <w:szCs w:val="32"/>
        </w:rPr>
        <w:t>20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Courier New"/>
          <w:sz w:val="32"/>
          <w:szCs w:val="32"/>
        </w:rPr>
        <w:t>年收入总计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43.99</w:t>
      </w:r>
      <w:r>
        <w:rPr>
          <w:rFonts w:hint="eastAsia" w:ascii="仿宋_GB2312" w:hAnsi="宋体" w:eastAsia="仿宋_GB2312" w:cs="Courier New"/>
          <w:sz w:val="32"/>
          <w:szCs w:val="32"/>
        </w:rPr>
        <w:t>万元，支出总计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43.99</w:t>
      </w:r>
      <w:r>
        <w:rPr>
          <w:rFonts w:hint="eastAsia" w:ascii="仿宋_GB2312" w:hAnsi="宋体" w:eastAsia="仿宋_GB2312" w:cs="Courier New"/>
          <w:sz w:val="32"/>
          <w:szCs w:val="32"/>
        </w:rPr>
        <w:t>万元，与</w:t>
      </w:r>
      <w:r>
        <w:rPr>
          <w:rFonts w:ascii="仿宋_GB2312" w:hAnsi="宋体" w:eastAsia="仿宋_GB2312" w:cs="Courier New"/>
          <w:sz w:val="32"/>
          <w:szCs w:val="32"/>
        </w:rPr>
        <w:t>201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 w:cs="Courier New"/>
          <w:sz w:val="32"/>
          <w:szCs w:val="32"/>
        </w:rPr>
        <w:t>年相比，收、支总计各</w:t>
      </w:r>
      <w:r>
        <w:rPr>
          <w:rFonts w:hint="eastAsia" w:ascii="宋体" w:hAnsi="宋体" w:cs="宋体"/>
          <w:sz w:val="32"/>
          <w:szCs w:val="32"/>
        </w:rPr>
        <w:t>增加</w:t>
      </w:r>
      <w:r>
        <w:rPr>
          <w:rFonts w:hint="eastAsia" w:ascii="仿宋_GB2312" w:hAnsi="宋体" w:eastAsia="仿宋_GB2312" w:cs="Courier New"/>
          <w:sz w:val="32"/>
          <w:szCs w:val="32"/>
        </w:rPr>
        <w:t>7.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34</w:t>
      </w:r>
      <w:r>
        <w:rPr>
          <w:rFonts w:hint="eastAsia" w:ascii="仿宋_GB2312" w:hAnsi="宋体" w:eastAsia="仿宋_GB2312" w:cs="Courier New"/>
          <w:sz w:val="32"/>
          <w:szCs w:val="32"/>
        </w:rPr>
        <w:t>万元，</w:t>
      </w:r>
      <w:r>
        <w:rPr>
          <w:rFonts w:hint="eastAsia" w:ascii="仿宋_GB2312" w:hAnsi="宋体" w:eastAsia="仿宋_GB2312" w:cs="宋体"/>
          <w:sz w:val="32"/>
          <w:szCs w:val="32"/>
        </w:rPr>
        <w:t>增加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20.03</w:t>
      </w:r>
      <w:r>
        <w:rPr>
          <w:rFonts w:hint="eastAsia" w:ascii="仿宋_GB2312" w:hAnsi="宋体" w:eastAsia="仿宋_GB2312" w:cs="Courier New"/>
          <w:sz w:val="32"/>
          <w:szCs w:val="32"/>
        </w:rPr>
        <w:t>%，原因为工资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福利支出</w:t>
      </w:r>
      <w:r>
        <w:rPr>
          <w:rFonts w:hint="eastAsia" w:ascii="仿宋_GB2312" w:hAnsi="宋体" w:eastAsia="仿宋_GB2312" w:cs="Courier New"/>
          <w:sz w:val="32"/>
          <w:szCs w:val="32"/>
        </w:rPr>
        <w:t>增加</w:t>
      </w:r>
      <w:r>
        <w:rPr>
          <w:rFonts w:hint="eastAsia" w:ascii="仿宋_GB2312" w:hAnsi="宋体" w:eastAsia="仿宋_GB2312" w:cs="Courier New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60" w:lineRule="atLeast"/>
        <w:ind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项城市委调查研究室</w:t>
      </w:r>
      <w:r>
        <w:rPr>
          <w:rFonts w:ascii="仿宋_GB2312" w:hAnsi="Times New Roman" w:eastAsia="仿宋_GB2312"/>
          <w:sz w:val="32"/>
          <w:szCs w:val="32"/>
        </w:rPr>
        <w:t>20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Times New Roman" w:eastAsia="仿宋_GB2312"/>
          <w:sz w:val="32"/>
          <w:szCs w:val="32"/>
        </w:rPr>
        <w:t>年收入合计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43.99</w:t>
      </w:r>
      <w:r>
        <w:rPr>
          <w:rFonts w:hint="eastAsia" w:ascii="仿宋_GB2312" w:hAnsi="Times New Roman" w:eastAsia="仿宋_GB2312"/>
          <w:sz w:val="32"/>
          <w:szCs w:val="32"/>
        </w:rPr>
        <w:t>万元，</w:t>
      </w:r>
      <w:r>
        <w:rPr>
          <w:rFonts w:hint="eastAsia" w:ascii="仿宋_GB2312" w:eastAsia="仿宋_GB2312"/>
          <w:sz w:val="32"/>
          <w:szCs w:val="32"/>
        </w:rPr>
        <w:t>一般公共预算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43.99</w:t>
      </w:r>
      <w:r>
        <w:rPr>
          <w:rFonts w:hint="eastAsia" w:ascii="仿宋_GB2312" w:eastAsia="仿宋_GB2312"/>
          <w:sz w:val="32"/>
          <w:szCs w:val="32"/>
        </w:rPr>
        <w:t>万元。</w:t>
      </w:r>
    </w:p>
    <w:p>
      <w:pPr>
        <w:spacing w:line="560" w:lineRule="exact"/>
        <w:ind w:firstLine="640" w:firstLineChars="200"/>
        <w:outlineLvl w:val="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三、支出预算总体情况说明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项城市委调查研究室</w:t>
      </w:r>
      <w:r>
        <w:rPr>
          <w:rFonts w:ascii="仿宋_GB2312" w:hAnsi="宋体" w:eastAsia="仿宋_GB2312" w:cs="Courier New"/>
          <w:sz w:val="32"/>
          <w:szCs w:val="32"/>
        </w:rPr>
        <w:t>20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Courier New"/>
          <w:sz w:val="32"/>
          <w:szCs w:val="32"/>
        </w:rPr>
        <w:t>年支出合计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43.99</w:t>
      </w:r>
      <w:r>
        <w:rPr>
          <w:rFonts w:hint="eastAsia" w:ascii="仿宋_GB2312" w:hAnsi="宋体" w:eastAsia="仿宋_GB2312" w:cs="Courier New"/>
          <w:sz w:val="32"/>
          <w:szCs w:val="32"/>
        </w:rPr>
        <w:t>万元，其中：基本支出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35.99</w:t>
      </w:r>
      <w:r>
        <w:rPr>
          <w:rFonts w:hint="eastAsia" w:ascii="仿宋_GB2312" w:hAnsi="宋体" w:eastAsia="仿宋_GB2312" w:cs="Courier New"/>
          <w:sz w:val="32"/>
          <w:szCs w:val="32"/>
        </w:rPr>
        <w:t>万元，占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81.81</w:t>
      </w:r>
      <w:r>
        <w:rPr>
          <w:rFonts w:hint="eastAsia" w:ascii="仿宋_GB2312" w:eastAsia="仿宋_GB2312"/>
          <w:sz w:val="32"/>
          <w:szCs w:val="32"/>
        </w:rPr>
        <w:t>%</w:t>
      </w:r>
      <w:r>
        <w:rPr>
          <w:rFonts w:hint="eastAsia" w:ascii="仿宋_GB2312" w:hAnsi="宋体" w:eastAsia="仿宋_GB2312" w:cs="Courier New"/>
          <w:sz w:val="32"/>
          <w:szCs w:val="32"/>
        </w:rPr>
        <w:t>，项目支出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8.00</w:t>
      </w:r>
      <w:r>
        <w:rPr>
          <w:rFonts w:hint="eastAsia" w:ascii="仿宋_GB2312" w:hAnsi="宋体" w:eastAsia="仿宋_GB2312" w:cs="Courier New"/>
          <w:sz w:val="32"/>
          <w:szCs w:val="32"/>
        </w:rPr>
        <w:t>万元，占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18.1</w:t>
      </w:r>
      <w:r>
        <w:rPr>
          <w:rFonts w:hint="eastAsia" w:ascii="仿宋_GB2312" w:eastAsia="仿宋_GB2312"/>
          <w:sz w:val="32"/>
          <w:szCs w:val="32"/>
        </w:rPr>
        <w:t>9</w:t>
      </w:r>
      <w:r>
        <w:rPr>
          <w:rFonts w:ascii="仿宋_GB2312" w:hAnsi="宋体" w:eastAsia="仿宋_GB2312" w:cs="Courier New"/>
          <w:sz w:val="32"/>
          <w:szCs w:val="32"/>
        </w:rPr>
        <w:t>%</w:t>
      </w:r>
      <w:r>
        <w:rPr>
          <w:rFonts w:hint="eastAsia" w:ascii="仿宋_GB2312" w:hAnsi="宋体" w:eastAsia="仿宋_GB2312" w:cs="Courier New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四、财政拨款收入支出预算总体情况说明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宋体" w:eastAsia="仿宋_GB2312" w:cs="Courier New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项城市委调查研究室</w:t>
      </w:r>
      <w:r>
        <w:rPr>
          <w:rFonts w:hint="eastAsia" w:ascii="仿宋_GB2312" w:hAnsi="宋体" w:eastAsia="仿宋_GB2312" w:cs="Courier New"/>
          <w:sz w:val="32"/>
          <w:szCs w:val="32"/>
        </w:rPr>
        <w:t>20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Courier New"/>
          <w:sz w:val="32"/>
          <w:szCs w:val="32"/>
        </w:rPr>
        <w:t xml:space="preserve">年收支预算 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43.99</w:t>
      </w:r>
      <w:r>
        <w:rPr>
          <w:rFonts w:hint="eastAsia" w:ascii="仿宋_GB2312" w:hAnsi="宋体" w:eastAsia="仿宋_GB2312" w:cs="Courier New"/>
          <w:sz w:val="32"/>
          <w:szCs w:val="32"/>
        </w:rPr>
        <w:t>万元。</w:t>
      </w:r>
      <w:r>
        <w:rPr>
          <w:rFonts w:hint="eastAsia" w:ascii="仿宋_GB2312" w:eastAsia="仿宋_GB2312"/>
          <w:sz w:val="32"/>
          <w:szCs w:val="32"/>
        </w:rPr>
        <w:t>与 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32"/>
        </w:rPr>
        <w:t>年相比，</w:t>
      </w:r>
      <w:r>
        <w:rPr>
          <w:rFonts w:hint="eastAsia" w:ascii="宋体" w:hAnsi="宋体" w:cs="宋体"/>
          <w:sz w:val="32"/>
          <w:szCs w:val="32"/>
        </w:rPr>
        <w:t>增加</w:t>
      </w:r>
      <w:r>
        <w:rPr>
          <w:rFonts w:hint="eastAsia" w:ascii="仿宋_GB2312" w:hAnsi="宋体" w:eastAsia="仿宋_GB2312" w:cs="Courier New"/>
          <w:sz w:val="32"/>
          <w:szCs w:val="32"/>
        </w:rPr>
        <w:t>7.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34</w:t>
      </w:r>
      <w:r>
        <w:rPr>
          <w:rFonts w:hint="eastAsia" w:ascii="仿宋_GB2312" w:eastAsia="仿宋_GB2312"/>
          <w:sz w:val="32"/>
          <w:szCs w:val="32"/>
        </w:rPr>
        <w:t>万元，</w:t>
      </w:r>
      <w:r>
        <w:rPr>
          <w:rFonts w:hint="eastAsia" w:ascii="仿宋_GB2312" w:hAnsi="宋体" w:eastAsia="仿宋_GB2312" w:cs="宋体"/>
          <w:sz w:val="32"/>
          <w:szCs w:val="32"/>
        </w:rPr>
        <w:t>增加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20.03</w:t>
      </w:r>
      <w:r>
        <w:rPr>
          <w:rFonts w:hint="eastAsia" w:ascii="仿宋_GB2312" w:hAnsi="宋体" w:eastAsia="仿宋_GB2312" w:cs="Courier New"/>
          <w:sz w:val="32"/>
          <w:szCs w:val="32"/>
        </w:rPr>
        <w:t>%</w:t>
      </w:r>
      <w:r>
        <w:rPr>
          <w:rFonts w:hint="eastAsia" w:ascii="仿宋_GB2312" w:eastAsia="仿宋_GB2312"/>
          <w:sz w:val="32"/>
          <w:szCs w:val="32"/>
        </w:rPr>
        <w:t>，主要原因</w:t>
      </w:r>
      <w:r>
        <w:rPr>
          <w:rFonts w:hint="eastAsia" w:ascii="仿宋_GB2312" w:hAnsi="宋体" w:eastAsia="仿宋_GB2312" w:cs="Courier New"/>
          <w:sz w:val="32"/>
          <w:szCs w:val="32"/>
        </w:rPr>
        <w:t>是工资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福利支出</w:t>
      </w:r>
      <w:r>
        <w:rPr>
          <w:rFonts w:hint="eastAsia" w:ascii="仿宋_GB2312" w:hAnsi="宋体" w:eastAsia="仿宋_GB2312" w:cs="Courier New"/>
          <w:sz w:val="32"/>
          <w:szCs w:val="32"/>
        </w:rPr>
        <w:t>增加</w:t>
      </w:r>
      <w:r>
        <w:rPr>
          <w:rFonts w:hint="eastAsia" w:ascii="仿宋_GB2312" w:hAnsi="宋体" w:eastAsia="仿宋_GB2312" w:cs="Courier New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五、一般公共预算支出预算情况说明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项城市委调查研究室</w:t>
      </w:r>
      <w:r>
        <w:rPr>
          <w:rFonts w:ascii="仿宋_GB2312" w:hAnsi="宋体" w:eastAsia="仿宋_GB2312" w:cs="Courier New"/>
          <w:sz w:val="32"/>
          <w:szCs w:val="32"/>
        </w:rPr>
        <w:t>20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Courier New"/>
          <w:sz w:val="32"/>
          <w:szCs w:val="32"/>
        </w:rPr>
        <w:t>年一般公共预算支出年初预算为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43.99</w:t>
      </w:r>
      <w:r>
        <w:rPr>
          <w:rFonts w:hint="eastAsia" w:ascii="仿宋_GB2312" w:hAnsi="宋体" w:eastAsia="仿宋_GB2312" w:cs="Courier New"/>
          <w:sz w:val="32"/>
          <w:szCs w:val="32"/>
        </w:rPr>
        <w:t>万元。主要用于以下方面：工资福利支出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30.09</w:t>
      </w:r>
      <w:r>
        <w:rPr>
          <w:rFonts w:hint="eastAsia" w:ascii="仿宋_GB2312" w:hAnsi="宋体" w:eastAsia="仿宋_GB2312" w:cs="Courier New"/>
          <w:sz w:val="32"/>
          <w:szCs w:val="32"/>
        </w:rPr>
        <w:t>万元，占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68.40</w:t>
      </w:r>
      <w:r>
        <w:rPr>
          <w:rFonts w:ascii="仿宋_GB2312" w:hAnsi="宋体" w:eastAsia="仿宋_GB2312" w:cs="Courier New"/>
          <w:sz w:val="32"/>
          <w:szCs w:val="32"/>
        </w:rPr>
        <w:t>%</w:t>
      </w:r>
      <w:r>
        <w:rPr>
          <w:rFonts w:hint="eastAsia" w:ascii="仿宋_GB2312" w:hAnsi="宋体" w:eastAsia="仿宋_GB2312" w:cs="Courier New"/>
          <w:sz w:val="32"/>
          <w:szCs w:val="32"/>
        </w:rPr>
        <w:t>；对个人各家庭补助支出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1.53</w:t>
      </w:r>
      <w:r>
        <w:rPr>
          <w:rFonts w:hint="eastAsia" w:ascii="仿宋_GB2312" w:hAnsi="宋体" w:eastAsia="仿宋_GB2312" w:cs="Courier New"/>
          <w:sz w:val="32"/>
          <w:szCs w:val="32"/>
        </w:rPr>
        <w:t>万元，占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3.48</w:t>
      </w:r>
      <w:r>
        <w:rPr>
          <w:rFonts w:ascii="仿宋_GB2312" w:hAnsi="宋体" w:eastAsia="仿宋_GB2312" w:cs="Courier New"/>
          <w:sz w:val="32"/>
          <w:szCs w:val="32"/>
        </w:rPr>
        <w:t>%</w:t>
      </w:r>
      <w:r>
        <w:rPr>
          <w:rFonts w:hint="eastAsia" w:ascii="仿宋_GB2312" w:hAnsi="宋体" w:eastAsia="仿宋_GB2312" w:cs="Courier New"/>
          <w:sz w:val="32"/>
          <w:szCs w:val="32"/>
        </w:rPr>
        <w:t>；商品和服务支出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4.37</w:t>
      </w:r>
      <w:r>
        <w:rPr>
          <w:rFonts w:hint="eastAsia" w:ascii="仿宋_GB2312" w:hAnsi="宋体" w:eastAsia="仿宋_GB2312" w:cs="Courier New"/>
          <w:sz w:val="32"/>
          <w:szCs w:val="32"/>
        </w:rPr>
        <w:t>万元，占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9.93</w:t>
      </w:r>
      <w:r>
        <w:rPr>
          <w:rFonts w:ascii="仿宋_GB2312" w:hAnsi="宋体" w:eastAsia="仿宋_GB2312" w:cs="Courier New"/>
          <w:sz w:val="32"/>
          <w:szCs w:val="32"/>
        </w:rPr>
        <w:t>%</w:t>
      </w:r>
      <w:r>
        <w:rPr>
          <w:rFonts w:hint="eastAsia" w:ascii="仿宋_GB2312" w:hAnsi="宋体" w:eastAsia="仿宋_GB2312" w:cs="Courier New"/>
          <w:sz w:val="32"/>
          <w:szCs w:val="32"/>
        </w:rPr>
        <w:t>；一般项目支出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宋体" w:eastAsia="仿宋_GB2312" w:cs="Courier New"/>
          <w:sz w:val="32"/>
          <w:szCs w:val="32"/>
        </w:rPr>
        <w:t>万元，占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18.19</w:t>
      </w:r>
      <w:r>
        <w:rPr>
          <w:rFonts w:ascii="仿宋_GB2312" w:hAnsi="宋体" w:eastAsia="仿宋_GB2312" w:cs="Courier New"/>
          <w:sz w:val="32"/>
          <w:szCs w:val="32"/>
        </w:rPr>
        <w:t>%</w:t>
      </w:r>
      <w:r>
        <w:rPr>
          <w:rFonts w:hint="eastAsia" w:ascii="仿宋_GB2312" w:hAnsi="宋体" w:eastAsia="仿宋_GB2312" w:cs="Courier New"/>
          <w:sz w:val="32"/>
          <w:szCs w:val="32"/>
        </w:rPr>
        <w:t>。</w:t>
      </w:r>
    </w:p>
    <w:p>
      <w:pPr>
        <w:spacing w:line="560" w:lineRule="exact"/>
        <w:ind w:firstLine="640" w:firstLineChars="200"/>
        <w:outlineLvl w:val="0"/>
        <w:rPr>
          <w:rFonts w:ascii="仿宋_GB2312" w:eastAsia="仿宋_GB2312"/>
          <w:sz w:val="32"/>
          <w:szCs w:val="32"/>
        </w:rPr>
      </w:pPr>
      <w:r>
        <w:rPr>
          <w:rFonts w:hint="eastAsia" w:ascii="黑体" w:hAnsi="Times New Roman" w:eastAsia="黑体" w:cs="黑体"/>
          <w:kern w:val="0"/>
          <w:sz w:val="32"/>
          <w:szCs w:val="32"/>
        </w:rPr>
        <w:t>六、一般公共预算基本支出预算情况说明</w:t>
      </w:r>
    </w:p>
    <w:p>
      <w:pPr>
        <w:spacing w:line="560" w:lineRule="exact"/>
        <w:ind w:firstLine="640" w:firstLineChars="200"/>
        <w:rPr>
          <w:rFonts w:ascii="仿宋_GB2312" w:hAnsi="宋体" w:eastAsia="仿宋_GB2312" w:cs="Courier New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项城市委调查研究室</w:t>
      </w:r>
      <w:r>
        <w:rPr>
          <w:rFonts w:ascii="仿宋_GB2312" w:hAnsi="宋体" w:eastAsia="仿宋_GB2312" w:cs="Courier New"/>
          <w:sz w:val="32"/>
          <w:szCs w:val="32"/>
        </w:rPr>
        <w:t>20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Courier New"/>
          <w:sz w:val="32"/>
          <w:szCs w:val="32"/>
        </w:rPr>
        <w:t>年一般公共预算基本支出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35.99</w:t>
      </w:r>
      <w:r>
        <w:rPr>
          <w:rFonts w:hint="eastAsia" w:ascii="仿宋_GB2312" w:hAnsi="宋体" w:eastAsia="仿宋_GB2312" w:cs="Courier New"/>
          <w:sz w:val="32"/>
          <w:szCs w:val="32"/>
        </w:rPr>
        <w:t>万元，其中：</w:t>
      </w:r>
      <w:r>
        <w:rPr>
          <w:rFonts w:hint="eastAsia" w:ascii="仿宋_GB2312" w:hAnsi="Times New Roman" w:eastAsia="仿宋_GB2312" w:cs="仿宋_GB2312"/>
          <w:b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31.62</w:t>
      </w:r>
      <w:r>
        <w:rPr>
          <w:rFonts w:hint="eastAsia" w:ascii="仿宋_GB2312" w:hAnsi="宋体" w:eastAsia="仿宋_GB2312" w:cs="Courier New"/>
          <w:sz w:val="32"/>
          <w:szCs w:val="32"/>
        </w:rPr>
        <w:t>万元，主要包括：基本工资、奖金、抚恤金、住房公积金、养老保险、医疗保险、大额补充医疗保险、生育保险、工伤保险；</w:t>
      </w:r>
      <w:r>
        <w:rPr>
          <w:rFonts w:hint="eastAsia" w:ascii="仿宋_GB2312" w:hAnsi="Times New Roman" w:eastAsia="仿宋_GB2312" w:cs="仿宋_GB2312"/>
          <w:b/>
          <w:spacing w:val="-1"/>
          <w:kern w:val="0"/>
          <w:sz w:val="32"/>
          <w:szCs w:val="32"/>
        </w:rPr>
        <w:t>公用经费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4.37</w:t>
      </w:r>
      <w:r>
        <w:rPr>
          <w:rFonts w:hint="eastAsia" w:ascii="仿宋_GB2312" w:hAnsi="宋体" w:eastAsia="仿宋_GB2312" w:cs="Courier New"/>
          <w:sz w:val="32"/>
          <w:szCs w:val="32"/>
        </w:rPr>
        <w:t>万元，主要包括：车补、办公费、印刷费、邮电费、差旅费、其他商品和服务支出等。</w:t>
      </w:r>
    </w:p>
    <w:p>
      <w:pPr>
        <w:spacing w:line="560" w:lineRule="exact"/>
        <w:ind w:firstLine="640" w:firstLineChars="200"/>
        <w:outlineLvl w:val="0"/>
        <w:rPr>
          <w:rFonts w:ascii="仿宋_GB2312" w:eastAsia="仿宋_GB2312"/>
          <w:sz w:val="32"/>
          <w:szCs w:val="32"/>
        </w:rPr>
      </w:pPr>
      <w:r>
        <w:rPr>
          <w:rFonts w:hint="eastAsia" w:ascii="黑体" w:hAnsi="Times New Roman" w:eastAsia="黑体" w:cs="黑体"/>
          <w:kern w:val="0"/>
          <w:sz w:val="32"/>
          <w:szCs w:val="32"/>
        </w:rPr>
        <w:t>七、政府性基金预算支出决算情况说明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我室</w:t>
      </w:r>
      <w:r>
        <w:rPr>
          <w:rFonts w:ascii="仿宋_GB2312" w:hAnsi="宋体" w:eastAsia="仿宋_GB2312" w:cs="Courier New"/>
          <w:sz w:val="32"/>
          <w:szCs w:val="32"/>
        </w:rPr>
        <w:t>20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Courier New"/>
          <w:sz w:val="32"/>
          <w:szCs w:val="32"/>
        </w:rPr>
        <w:t>年没有使用政府性基金预算拨款安排的支出。</w:t>
      </w:r>
    </w:p>
    <w:p>
      <w:pPr>
        <w:widowControl/>
        <w:shd w:val="clear" w:color="auto" w:fill="FFFFFF"/>
        <w:spacing w:line="560" w:lineRule="atLeast"/>
        <w:ind w:firstLine="640"/>
        <w:jc w:val="left"/>
        <w:rPr>
          <w:rFonts w:ascii="宋体" w:hAnsi="宋体" w:cs="宋体"/>
          <w:kern w:val="0"/>
          <w:sz w:val="16"/>
          <w:szCs w:val="16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八、 “三公”经费支出预算情况说明</w:t>
      </w:r>
    </w:p>
    <w:p>
      <w:pPr>
        <w:keepNext w:val="0"/>
        <w:keepLines w:val="0"/>
        <w:pageBreakBefore w:val="0"/>
        <w:wordWrap/>
        <w:topLinePunct w:val="0"/>
        <w:bidi w:val="0"/>
        <w:spacing w:line="360" w:lineRule="auto"/>
        <w:ind w:left="0" w:leftChars="0" w:right="0" w:rightChars="0" w:firstLine="640" w:firstLineChars="200"/>
        <w:textAlignment w:val="auto"/>
        <w:rPr>
          <w:rFonts w:hint="eastAsia"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我室20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年“三公”经费预算为0万元。</w:t>
      </w:r>
      <w:r>
        <w:rPr>
          <w:rFonts w:hint="eastAsia" w:ascii="仿宋_GB2312" w:hAnsi="宋体" w:eastAsia="仿宋_GB2312" w:cs="Courier New"/>
          <w:sz w:val="32"/>
          <w:szCs w:val="32"/>
        </w:rPr>
        <w:t>20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Courier New"/>
          <w:sz w:val="32"/>
          <w:szCs w:val="32"/>
        </w:rPr>
        <w:t>年“三公”经费支出预算数</w:t>
      </w:r>
      <w:r>
        <w:rPr>
          <w:rFonts w:hint="eastAsia" w:ascii="仿宋_GB2312" w:hAnsi="宋体" w:eastAsia="仿宋_GB2312" w:cs="Courier New"/>
          <w:sz w:val="32"/>
          <w:szCs w:val="32"/>
          <w:lang w:eastAsia="zh-CN"/>
        </w:rPr>
        <w:t>比</w:t>
      </w:r>
      <w:r>
        <w:rPr>
          <w:rFonts w:hint="eastAsia" w:ascii="仿宋_GB2312" w:hAnsi="宋体" w:eastAsia="仿宋_GB2312" w:cs="Courier New"/>
          <w:sz w:val="32"/>
          <w:szCs w:val="32"/>
        </w:rPr>
        <w:t xml:space="preserve"> 201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 w:cs="Courier New"/>
          <w:sz w:val="32"/>
          <w:szCs w:val="32"/>
        </w:rPr>
        <w:t xml:space="preserve"> 年预算数</w:t>
      </w:r>
      <w:r>
        <w:rPr>
          <w:rFonts w:hint="eastAsia" w:ascii="仿宋_GB2312" w:hAnsi="宋体" w:eastAsia="仿宋_GB2312" w:cs="Courier New"/>
          <w:sz w:val="32"/>
          <w:szCs w:val="32"/>
          <w:lang w:eastAsia="zh-CN"/>
        </w:rPr>
        <w:t>减少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0万元</w:t>
      </w:r>
      <w:r>
        <w:rPr>
          <w:rFonts w:hint="eastAsia" w:ascii="仿宋_GB2312" w:hAnsi="宋体" w:eastAsia="仿宋_GB2312" w:cs="Courier New"/>
          <w:sz w:val="32"/>
          <w:szCs w:val="32"/>
        </w:rPr>
        <w:t>。严格按照上级文件要求零增减的原则，预算</w:t>
      </w:r>
      <w:r>
        <w:rPr>
          <w:rFonts w:hint="eastAsia" w:ascii="仿宋_GB2312" w:hAnsi="宋体" w:eastAsia="仿宋_GB2312" w:cs="Courier New"/>
          <w:sz w:val="32"/>
          <w:szCs w:val="32"/>
          <w:lang w:eastAsia="zh-CN"/>
        </w:rPr>
        <w:t>与</w:t>
      </w:r>
      <w:r>
        <w:rPr>
          <w:rFonts w:hint="eastAsia" w:ascii="仿宋_GB2312" w:hAnsi="宋体" w:eastAsia="仿宋_GB2312" w:cs="Courier New"/>
          <w:sz w:val="32"/>
          <w:szCs w:val="32"/>
        </w:rPr>
        <w:t>上年</w:t>
      </w:r>
      <w:r>
        <w:rPr>
          <w:rFonts w:hint="eastAsia" w:ascii="仿宋_GB2312" w:hAnsi="宋体" w:eastAsia="仿宋_GB2312" w:cs="Courier New"/>
          <w:sz w:val="32"/>
          <w:szCs w:val="32"/>
          <w:lang w:eastAsia="zh-CN"/>
        </w:rPr>
        <w:t>持平</w:t>
      </w:r>
      <w:r>
        <w:rPr>
          <w:rFonts w:hint="eastAsia" w:ascii="仿宋_GB2312" w:hAnsi="宋体" w:eastAsia="仿宋_GB2312" w:cs="Courier New"/>
          <w:sz w:val="32"/>
          <w:szCs w:val="32"/>
        </w:rPr>
        <w:t>。</w:t>
      </w:r>
    </w:p>
    <w:p>
      <w:pPr>
        <w:widowControl/>
        <w:shd w:val="clear" w:color="auto" w:fill="FFFFFF"/>
        <w:spacing w:line="245" w:lineRule="atLeast"/>
        <w:ind w:firstLine="640"/>
        <w:jc w:val="left"/>
        <w:rPr>
          <w:rFonts w:ascii="宋体" w:hAnsi="宋体" w:cs="宋体"/>
          <w:kern w:val="0"/>
          <w:sz w:val="16"/>
          <w:szCs w:val="16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其中</w:t>
      </w:r>
      <w:r>
        <w:rPr>
          <w:rFonts w:hint="eastAsia" w:ascii="仿宋_GB2312" w:hAnsi="宋体" w:eastAsia="仿宋_GB2312" w:cs="宋体"/>
          <w:spacing w:val="-1"/>
          <w:kern w:val="0"/>
          <w:sz w:val="32"/>
          <w:szCs w:val="32"/>
        </w:rPr>
        <w:t>因公出国（境）费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0</w:t>
      </w:r>
      <w:r>
        <w:rPr>
          <w:rFonts w:hint="eastAsia" w:ascii="仿宋_GB2312" w:hAnsi="宋体" w:eastAsia="仿宋_GB2312" w:cs="宋体"/>
          <w:spacing w:val="-1"/>
          <w:kern w:val="0"/>
          <w:sz w:val="32"/>
          <w:szCs w:val="32"/>
        </w:rPr>
        <w:t>，公务用车购置及运行费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0，其中，</w:t>
      </w:r>
      <w:r>
        <w:rPr>
          <w:rFonts w:hint="eastAsia" w:ascii="仿宋_GB2312" w:hAnsi="宋体" w:eastAsia="仿宋_GB2312" w:cs="宋体"/>
          <w:spacing w:val="-1"/>
          <w:kern w:val="0"/>
          <w:sz w:val="32"/>
          <w:szCs w:val="32"/>
        </w:rPr>
        <w:t>公务接待费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0万元。</w:t>
      </w:r>
    </w:p>
    <w:p>
      <w:pPr>
        <w:widowControl/>
        <w:shd w:val="clear" w:color="auto" w:fill="FFFFFF"/>
        <w:spacing w:line="245" w:lineRule="atLeast"/>
        <w:ind w:firstLine="640"/>
        <w:jc w:val="left"/>
        <w:rPr>
          <w:rFonts w:ascii="宋体" w:hAnsi="宋体" w:cs="宋体"/>
          <w:kern w:val="0"/>
          <w:sz w:val="16"/>
          <w:szCs w:val="16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具体支出情况如下：</w:t>
      </w:r>
    </w:p>
    <w:p>
      <w:pPr>
        <w:widowControl/>
        <w:shd w:val="clear" w:color="auto" w:fill="FFFFFF"/>
        <w:spacing w:line="245" w:lineRule="atLeast"/>
        <w:ind w:firstLine="638"/>
        <w:jc w:val="left"/>
        <w:rPr>
          <w:rFonts w:hint="default" w:ascii="宋体" w:hAnsi="宋体" w:eastAsia="仿宋_GB2312" w:cs="宋体"/>
          <w:kern w:val="0"/>
          <w:sz w:val="16"/>
          <w:szCs w:val="16"/>
          <w:lang w:val="en-US" w:eastAsia="zh-CN"/>
        </w:rPr>
      </w:pPr>
      <w:r>
        <w:rPr>
          <w:rFonts w:hint="eastAsia" w:ascii="仿宋_GB2312" w:hAnsi="宋体" w:eastAsia="仿宋_GB2312" w:cs="宋体"/>
          <w:spacing w:val="-1"/>
          <w:kern w:val="0"/>
          <w:sz w:val="32"/>
        </w:rPr>
        <w:t>（一）因公出国（境）费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0</w:t>
      </w:r>
      <w:r>
        <w:rPr>
          <w:rFonts w:hint="eastAsia" w:ascii="仿宋_GB2312" w:hAnsi="宋体" w:eastAsia="仿宋_GB2312" w:cs="宋体"/>
          <w:spacing w:val="-1"/>
          <w:kern w:val="0"/>
          <w:sz w:val="32"/>
          <w:szCs w:val="32"/>
        </w:rPr>
        <w:t>万元</w:t>
      </w:r>
      <w:r>
        <w:rPr>
          <w:rFonts w:hint="eastAsia" w:ascii="仿宋_GB2312" w:hAnsi="宋体" w:eastAsia="仿宋_GB2312" w:cs="宋体"/>
          <w:spacing w:val="-1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宋体"/>
          <w:spacing w:val="-1"/>
          <w:kern w:val="0"/>
          <w:sz w:val="32"/>
          <w:szCs w:val="32"/>
          <w:lang w:val="en-US" w:eastAsia="zh-CN"/>
        </w:rPr>
        <w:t>与上年持平。</w:t>
      </w:r>
    </w:p>
    <w:p>
      <w:pPr>
        <w:widowControl/>
        <w:shd w:val="clear" w:color="auto" w:fill="FFFFFF"/>
        <w:spacing w:line="245" w:lineRule="atLeast"/>
        <w:ind w:firstLine="638"/>
        <w:jc w:val="left"/>
        <w:rPr>
          <w:rFonts w:hint="default" w:ascii="宋体" w:hAnsi="宋体" w:eastAsia="仿宋_GB2312" w:cs="宋体"/>
          <w:kern w:val="0"/>
          <w:sz w:val="16"/>
          <w:szCs w:val="16"/>
          <w:lang w:val="en-US" w:eastAsia="zh-CN"/>
        </w:rPr>
      </w:pPr>
      <w:r>
        <w:rPr>
          <w:rFonts w:hint="eastAsia" w:ascii="仿宋_GB2312" w:hAnsi="宋体" w:eastAsia="仿宋_GB2312" w:cs="宋体"/>
          <w:spacing w:val="-1"/>
          <w:kern w:val="0"/>
          <w:sz w:val="32"/>
        </w:rPr>
        <w:t>（二）公务用车购置及运行费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0万元。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其中，公务用车购置费0万元；公务用车运行维护费0万元。公务用车购置费预算数与2019年持平。公务用车运行维护费预算数与2019年持平。</w:t>
      </w:r>
    </w:p>
    <w:p>
      <w:pPr>
        <w:widowControl/>
        <w:shd w:val="clear" w:color="auto" w:fill="FFFFFF"/>
        <w:spacing w:line="245" w:lineRule="atLeast"/>
        <w:ind w:firstLine="1272" w:firstLineChars="4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spacing w:val="-1"/>
          <w:kern w:val="0"/>
          <w:sz w:val="32"/>
        </w:rPr>
        <w:t>（三）公务接待费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0万元。</w:t>
      </w:r>
    </w:p>
    <w:p>
      <w:pPr>
        <w:spacing w:line="560" w:lineRule="exact"/>
        <w:ind w:firstLine="640" w:firstLineChars="200"/>
        <w:rPr>
          <w:rFonts w:ascii="黑体" w:hAnsi="黑体" w:eastAsia="黑体" w:cs="Courier New"/>
          <w:bCs/>
          <w:sz w:val="32"/>
          <w:szCs w:val="32"/>
        </w:rPr>
      </w:pPr>
      <w:r>
        <w:rPr>
          <w:rFonts w:hint="eastAsia" w:ascii="黑体" w:hAnsi="黑体" w:eastAsia="黑体" w:cs="Courier New"/>
          <w:bCs/>
          <w:sz w:val="32"/>
          <w:szCs w:val="32"/>
        </w:rPr>
        <w:t>九、国有资本经营预算支出情况说明</w:t>
      </w:r>
    </w:p>
    <w:p>
      <w:pPr>
        <w:spacing w:line="560" w:lineRule="exact"/>
        <w:ind w:firstLine="640" w:firstLineChars="200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</w:t>
      </w:r>
      <w:r>
        <w:rPr>
          <w:rFonts w:hint="eastAsia" w:ascii="仿宋_GB2312" w:hAnsi="宋体" w:eastAsia="仿宋_GB2312" w:cs="Courier New"/>
          <w:sz w:val="32"/>
          <w:szCs w:val="32"/>
        </w:rPr>
        <w:t>单位20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Courier New"/>
          <w:sz w:val="32"/>
          <w:szCs w:val="32"/>
        </w:rPr>
        <w:t>年没有使用国有资本经营预算拨款安排的支出。</w:t>
      </w:r>
    </w:p>
    <w:p>
      <w:pPr>
        <w:widowControl/>
        <w:shd w:val="clear" w:color="auto" w:fill="FFFFFF"/>
        <w:spacing w:line="245" w:lineRule="atLeast"/>
        <w:ind w:firstLine="636"/>
        <w:jc w:val="left"/>
        <w:rPr>
          <w:rFonts w:ascii="宋体" w:hAnsi="宋体" w:cs="宋体"/>
          <w:kern w:val="0"/>
          <w:sz w:val="16"/>
          <w:szCs w:val="16"/>
        </w:rPr>
      </w:pPr>
      <w:r>
        <w:rPr>
          <w:rFonts w:hint="eastAsia" w:ascii="黑体" w:hAnsi="黑体" w:eastAsia="黑体" w:cs="宋体"/>
          <w:spacing w:val="-1"/>
          <w:kern w:val="0"/>
          <w:sz w:val="32"/>
          <w:szCs w:val="32"/>
        </w:rPr>
        <w:t>十、其他重要事项的情况说明</w:t>
      </w:r>
    </w:p>
    <w:p>
      <w:pPr>
        <w:widowControl/>
        <w:shd w:val="clear" w:color="auto" w:fill="FFFFFF"/>
        <w:spacing w:line="245" w:lineRule="atLeast"/>
        <w:ind w:firstLine="643"/>
        <w:jc w:val="left"/>
        <w:rPr>
          <w:rFonts w:ascii="宋体" w:hAnsi="宋体" w:cs="宋体"/>
          <w:kern w:val="0"/>
          <w:sz w:val="16"/>
          <w:szCs w:val="16"/>
        </w:rPr>
      </w:pPr>
      <w:r>
        <w:rPr>
          <w:rFonts w:hint="eastAsia" w:ascii="仿宋_GB2312" w:hAnsi="宋体" w:eastAsia="仿宋_GB2312" w:cs="宋体"/>
          <w:kern w:val="0"/>
          <w:sz w:val="32"/>
        </w:rPr>
        <w:t>（一）机关运行经费支出情况</w:t>
      </w:r>
    </w:p>
    <w:p>
      <w:pPr>
        <w:widowControl/>
        <w:shd w:val="clear" w:color="auto" w:fill="FFFFFF"/>
        <w:spacing w:line="560" w:lineRule="atLeast"/>
        <w:ind w:firstLine="640"/>
        <w:jc w:val="left"/>
        <w:rPr>
          <w:rFonts w:ascii="宋体" w:hAnsi="宋体" w:cs="宋体"/>
          <w:kern w:val="0"/>
          <w:sz w:val="16"/>
          <w:szCs w:val="16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我单位20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年机关运行经费支出预算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4.37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万元，主要保障机关机构正常运转及正常履职需要的办公费、水电费、印刷费、维修费、差旅费、公务交通补贴等支出。</w:t>
      </w:r>
    </w:p>
    <w:p>
      <w:pPr>
        <w:widowControl/>
        <w:shd w:val="clear" w:color="auto" w:fill="FFFFFF"/>
        <w:spacing w:line="245" w:lineRule="atLeast"/>
        <w:ind w:firstLine="643"/>
        <w:jc w:val="left"/>
        <w:rPr>
          <w:rFonts w:ascii="宋体" w:hAnsi="宋体" w:cs="宋体"/>
          <w:kern w:val="0"/>
          <w:sz w:val="16"/>
          <w:szCs w:val="16"/>
        </w:rPr>
      </w:pPr>
      <w:r>
        <w:rPr>
          <w:rFonts w:hint="eastAsia" w:ascii="仿宋_GB2312" w:hAnsi="宋体" w:eastAsia="仿宋_GB2312" w:cs="宋体"/>
          <w:kern w:val="0"/>
          <w:sz w:val="32"/>
        </w:rPr>
        <w:t>（二）政府采购支出情况</w:t>
      </w:r>
    </w:p>
    <w:p>
      <w:pPr>
        <w:widowControl/>
        <w:shd w:val="clear" w:color="auto" w:fill="FFFFFF"/>
        <w:spacing w:line="245" w:lineRule="atLeast"/>
        <w:ind w:firstLine="64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20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年政府采购预算安排0万元。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十一、国有资产占用情况说明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640" w:firstLineChars="200"/>
        <w:rPr>
          <w:rFonts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20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Courier New"/>
          <w:sz w:val="32"/>
          <w:szCs w:val="32"/>
        </w:rPr>
        <w:t>年度，本单位公务用车 0 辆，单位价值 50 万元以上通用设配 0 台（套），单位价值 100 万元以上专用设备 0 台（套）。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十二、重点项目预算的绩效目标等预算绩效情况说明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640" w:firstLineChars="200"/>
        <w:rPr>
          <w:rFonts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20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 w:cs="Courier New"/>
          <w:sz w:val="32"/>
          <w:szCs w:val="32"/>
        </w:rPr>
        <w:t>年度，本单位没有民生项目和重点支出项目，未开展预算绩效评价。</w:t>
      </w:r>
    </w:p>
    <w:p>
      <w:pPr>
        <w:widowControl/>
        <w:numPr>
          <w:ilvl w:val="0"/>
          <w:numId w:val="1"/>
        </w:numPr>
        <w:shd w:val="clear" w:color="auto" w:fill="FFFFFF"/>
        <w:spacing w:line="245" w:lineRule="atLeast"/>
        <w:ind w:firstLine="640"/>
        <w:jc w:val="left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专项转移支付项目支出情况说明</w:t>
      </w:r>
    </w:p>
    <w:p>
      <w:pPr>
        <w:widowControl/>
        <w:numPr>
          <w:numId w:val="0"/>
        </w:numPr>
        <w:shd w:val="clear" w:color="auto" w:fill="FFFFFF"/>
        <w:spacing w:line="245" w:lineRule="atLeast"/>
        <w:ind w:firstLine="640" w:firstLineChars="200"/>
        <w:jc w:val="left"/>
        <w:rPr>
          <w:rFonts w:hint="default" w:ascii="仿宋_GB2312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2020年度，本单位没有专项转移支付项目支出。</w:t>
      </w:r>
    </w:p>
    <w:p>
      <w:pPr>
        <w:widowControl/>
        <w:shd w:val="clear" w:color="auto" w:fill="FFFFFF"/>
        <w:spacing w:line="245" w:lineRule="atLeast"/>
        <w:ind w:firstLine="64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1980" w:firstLineChars="550"/>
        <w:rPr>
          <w:rFonts w:hint="eastAsia" w:ascii="黑体" w:hAnsi="黑体" w:eastAsia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1980" w:firstLineChars="550"/>
        <w:rPr>
          <w:rFonts w:hint="eastAsia" w:ascii="黑体" w:hAnsi="黑体" w:eastAsia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1980" w:firstLineChars="550"/>
        <w:rPr>
          <w:rFonts w:hint="eastAsia" w:ascii="黑体" w:hAnsi="黑体" w:eastAsia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1980" w:firstLineChars="550"/>
        <w:rPr>
          <w:rFonts w:hint="eastAsia" w:ascii="黑体" w:hAnsi="黑体" w:eastAsia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1980" w:firstLineChars="550"/>
        <w:rPr>
          <w:rFonts w:hint="eastAsia" w:ascii="黑体" w:hAnsi="黑体" w:eastAsia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1980" w:firstLineChars="550"/>
        <w:rPr>
          <w:rFonts w:hint="eastAsia" w:ascii="黑体" w:hAnsi="黑体" w:eastAsia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1980" w:firstLineChars="550"/>
        <w:rPr>
          <w:rFonts w:hint="eastAsia" w:ascii="黑体" w:hAnsi="黑体" w:eastAsia="黑体"/>
          <w:sz w:val="36"/>
          <w:szCs w:val="36"/>
        </w:rPr>
      </w:pPr>
    </w:p>
    <w:p>
      <w:pPr>
        <w:adjustRightInd w:val="0"/>
        <w:snapToGrid w:val="0"/>
        <w:spacing w:line="360" w:lineRule="auto"/>
        <w:ind w:firstLine="1980" w:firstLineChars="550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第三部分</w:t>
      </w:r>
      <w:r>
        <w:rPr>
          <w:rFonts w:ascii="黑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800" w:firstLineChars="250"/>
        <w:rPr>
          <w:rFonts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一、财政拨款收入：是指省级财政当年拨付的资金。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800" w:firstLineChars="250"/>
        <w:rPr>
          <w:rFonts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二、事业收入：是指事业单位开展专业活动及辅助活动所取</w:t>
      </w:r>
      <w:r>
        <w:rPr>
          <w:rFonts w:ascii="仿宋_GB2312" w:hAnsi="宋体" w:eastAsia="仿宋_GB2312" w:cs="Courier New"/>
          <w:sz w:val="32"/>
          <w:szCs w:val="32"/>
        </w:rPr>
        <w:t xml:space="preserve"> </w:t>
      </w:r>
      <w:r>
        <w:rPr>
          <w:rFonts w:hint="eastAsia" w:ascii="仿宋_GB2312" w:hAnsi="宋体" w:eastAsia="仿宋_GB2312" w:cs="Courier New"/>
          <w:sz w:val="32"/>
          <w:szCs w:val="32"/>
        </w:rPr>
        <w:t>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800" w:firstLineChars="250"/>
        <w:rPr>
          <w:rFonts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三、其他收入：是指部门取得的除“财政拨款”、“事业收入”、“事业单位经营收入”等以外的收入。</w:t>
      </w:r>
      <w:r>
        <w:rPr>
          <w:rFonts w:ascii="仿宋_GB2312" w:hAnsi="宋体" w:eastAsia="仿宋_GB2312" w:cs="Courier New"/>
          <w:sz w:val="32"/>
          <w:szCs w:val="32"/>
        </w:rPr>
        <w:t xml:space="preserve">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800" w:firstLineChars="250"/>
        <w:rPr>
          <w:rFonts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</w:t>
      </w:r>
      <w:r>
        <w:rPr>
          <w:rFonts w:ascii="仿宋_GB2312" w:hAnsi="宋体" w:eastAsia="仿宋_GB2312" w:cs="Courier New"/>
          <w:sz w:val="32"/>
          <w:szCs w:val="32"/>
        </w:rPr>
        <w:t xml:space="preserve"> </w:t>
      </w:r>
      <w:r>
        <w:rPr>
          <w:rFonts w:hint="eastAsia" w:ascii="仿宋_GB2312" w:hAnsi="宋体" w:eastAsia="仿宋_GB2312" w:cs="Courier New"/>
          <w:sz w:val="32"/>
          <w:szCs w:val="32"/>
        </w:rPr>
        <w:t>支差额的基金）弥补当年收支缺口的资金。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800" w:firstLineChars="250"/>
        <w:rPr>
          <w:rFonts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五、基本支出：是指为保障机构正常运转、完成日常工作任务所必需的开支，其内容包括人员经费和日常公用经费两部分。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800" w:firstLineChars="250"/>
        <w:rPr>
          <w:rFonts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六、项目支出：是指在基本支出之外，为完成特定的行政工作任务或事业发展目标所发生的支出。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800" w:firstLineChars="250"/>
        <w:rPr>
          <w:rFonts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七、“三公”经费：是指纳入省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850" w:firstLineChars="250"/>
        <w:rPr>
          <w:rFonts w:ascii="仿宋_GB2312" w:hAnsi="宋体" w:eastAsia="仿宋_GB2312" w:cs="Courier New"/>
          <w:spacing w:val="10"/>
          <w:kern w:val="10"/>
          <w:sz w:val="32"/>
          <w:szCs w:val="32"/>
        </w:rPr>
      </w:pPr>
      <w:r>
        <w:rPr>
          <w:rFonts w:hint="eastAsia" w:ascii="仿宋_GB2312" w:hAnsi="宋体" w:eastAsia="仿宋_GB2312" w:cs="Courier New"/>
          <w:spacing w:val="10"/>
          <w:sz w:val="32"/>
          <w:szCs w:val="32"/>
        </w:rPr>
        <w:t>八、机关运行经费：是指为保障行政单位（含参照公</w:t>
      </w:r>
      <w:r>
        <w:rPr>
          <w:rFonts w:hint="eastAsia" w:ascii="仿宋_GB2312" w:hAnsi="宋体" w:eastAsia="仿宋_GB2312" w:cs="Courier New"/>
          <w:spacing w:val="10"/>
          <w:kern w:val="10"/>
          <w:sz w:val="32"/>
          <w:szCs w:val="32"/>
        </w:rPr>
        <w:t>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附件：调查研究室</w:t>
      </w:r>
      <w:r>
        <w:rPr>
          <w:rFonts w:ascii="黑体" w:hAnsi="黑体" w:eastAsia="黑体"/>
          <w:sz w:val="32"/>
          <w:szCs w:val="32"/>
        </w:rPr>
        <w:t>20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20</w:t>
      </w:r>
      <w:r>
        <w:rPr>
          <w:rFonts w:hint="eastAsia" w:ascii="黑体" w:hAnsi="黑体" w:eastAsia="黑体"/>
          <w:sz w:val="32"/>
          <w:szCs w:val="32"/>
        </w:rPr>
        <w:t>年度部门预算表</w:t>
      </w: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</w:p>
    <w:p>
      <w:pPr>
        <w:rPr>
          <w:rFonts w:ascii="黑体" w:hAnsi="黑体" w:eastAsia="黑体"/>
          <w:sz w:val="32"/>
          <w:szCs w:val="32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  <w:r>
        <w:rPr>
          <w:rFonts w:ascii="黑体" w:hAnsi="黑体" w:eastAsia="黑体"/>
          <w:sz w:val="32"/>
          <w:szCs w:val="32"/>
        </w:rPr>
        <w:br w:type="page"/>
      </w: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object>
          <v:shape id="_x0000_i1025" o:spt="75" type="#_x0000_t75" style="height:434.15pt;width:1639.45pt;" o:ole="t" filled="f" o:preferrelative="t" stroked="f" coordsize="21600,21600">
            <v:path/>
            <v:fill on="f" focussize="0,0"/>
            <v:stroke on="f"/>
            <v:imagedata r:id="rId11" o:title=""/>
            <o:lock v:ext="edit" aspectratio="t"/>
            <w10:wrap type="none"/>
            <w10:anchorlock/>
          </v:shape>
          <o:OLEObject Type="Embed" ProgID="Excel.Sheet.12" ShapeID="_x0000_i1025" DrawAspect="Content" ObjectID="_1468075725" r:id="rId10">
            <o:LockedField>false</o:LockedField>
          </o:OLEObject>
        </w:object>
      </w: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object>
          <v:shape id="_x0000_i1026" o:spt="75" type="#_x0000_t75" style="height:1082.35pt;width:1070.7pt;" o:ole="t" filled="f" o:preferrelative="t" stroked="f" coordsize="21600,21600">
            <v:path/>
            <v:fill on="f" focussize="0,0"/>
            <v:stroke on="f"/>
            <v:imagedata r:id="rId13" o:title=""/>
            <o:lock v:ext="edit" aspectratio="t"/>
            <w10:wrap type="none"/>
            <w10:anchorlock/>
          </v:shape>
          <o:OLEObject Type="Embed" ProgID="Excel.Sheet.12" ShapeID="_x0000_i1026" DrawAspect="Content" ObjectID="_1468075726" r:id="rId12">
            <o:LockedField>false</o:LockedField>
          </o:OLEObject>
        </w:object>
      </w:r>
      <w:r>
        <w:rPr>
          <w:rFonts w:hint="eastAsia" w:ascii="黑体" w:hAnsi="黑体" w:eastAsia="黑体"/>
          <w:sz w:val="32"/>
          <w:szCs w:val="32"/>
          <w:lang w:eastAsia="zh-CN"/>
        </w:rPr>
        <w:object>
          <v:shape id="_x0000_i1027" o:spt="75" type="#_x0000_t75" style="height:1255.85pt;width:1065.2pt;" o:ole="t" filled="f" o:preferrelative="t" stroked="f" coordsize="21600,21600">
            <v:path/>
            <v:fill on="f" focussize="0,0"/>
            <v:stroke on="f"/>
            <v:imagedata r:id="rId15" o:title=""/>
            <o:lock v:ext="edit" aspectratio="t"/>
            <w10:wrap type="none"/>
            <w10:anchorlock/>
          </v:shape>
          <o:OLEObject Type="Embed" ProgID="Excel.Sheet.12" ShapeID="_x0000_i1027" DrawAspect="Content" ObjectID="_1468075727" r:id="rId14">
            <o:LockedField>false</o:LockedField>
          </o:OLEObject>
        </w:object>
      </w:r>
      <w:r>
        <w:rPr>
          <w:rFonts w:hint="eastAsia" w:ascii="黑体" w:hAnsi="黑体" w:eastAsia="黑体"/>
          <w:sz w:val="32"/>
          <w:szCs w:val="32"/>
          <w:lang w:eastAsia="zh-CN"/>
        </w:rPr>
        <w:object>
          <v:shape id="_x0000_i1028" o:spt="75" type="#_x0000_t75" style="height:481.95pt;width:2063.1pt;" o:ole="t" filled="f" o:preferrelative="t" stroked="f" coordsize="21600,21600">
            <v:path/>
            <v:fill on="f" focussize="0,0"/>
            <v:stroke on="f"/>
            <v:imagedata r:id="rId17" o:title=""/>
            <o:lock v:ext="edit" aspectratio="t"/>
            <w10:wrap type="none"/>
            <w10:anchorlock/>
          </v:shape>
          <o:OLEObject Type="Embed" ProgID="Excel.Sheet.12" ShapeID="_x0000_i1028" DrawAspect="Content" ObjectID="_1468075728" r:id="rId16">
            <o:LockedField>false</o:LockedField>
          </o:OLEObject>
        </w:object>
      </w: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tbl>
      <w:tblPr>
        <w:tblStyle w:val="5"/>
        <w:tblW w:w="16860" w:type="dxa"/>
        <w:jc w:val="center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72"/>
        <w:gridCol w:w="672"/>
        <w:gridCol w:w="672"/>
        <w:gridCol w:w="924"/>
        <w:gridCol w:w="3708"/>
        <w:gridCol w:w="1308"/>
        <w:gridCol w:w="1272"/>
        <w:gridCol w:w="1248"/>
        <w:gridCol w:w="1284"/>
        <w:gridCol w:w="1272"/>
        <w:gridCol w:w="1272"/>
        <w:gridCol w:w="1272"/>
        <w:gridCol w:w="1284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预算05表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686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一般公共预算支出表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单位：百元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201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9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单位代码</w:t>
            </w:r>
          </w:p>
        </w:tc>
        <w:tc>
          <w:tcPr>
            <w:tcW w:w="37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单位（科目名称）</w:t>
            </w:r>
          </w:p>
        </w:tc>
        <w:tc>
          <w:tcPr>
            <w:tcW w:w="13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总计</w:t>
            </w:r>
          </w:p>
        </w:tc>
        <w:tc>
          <w:tcPr>
            <w:tcW w:w="507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38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项目支出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6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类</w:t>
            </w:r>
          </w:p>
        </w:tc>
        <w:tc>
          <w:tcPr>
            <w:tcW w:w="6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款</w:t>
            </w:r>
          </w:p>
        </w:tc>
        <w:tc>
          <w:tcPr>
            <w:tcW w:w="6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2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12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商品服务支出</w:t>
            </w:r>
          </w:p>
        </w:tc>
        <w:tc>
          <w:tcPr>
            <w:tcW w:w="12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对个人和家庭的补助</w:t>
            </w:r>
          </w:p>
        </w:tc>
        <w:tc>
          <w:tcPr>
            <w:tcW w:w="12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2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经常性项目支出</w:t>
            </w:r>
          </w:p>
        </w:tc>
        <w:tc>
          <w:tcPr>
            <w:tcW w:w="12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重点项目支出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6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**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**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**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**</w:t>
            </w:r>
          </w:p>
        </w:tc>
        <w:tc>
          <w:tcPr>
            <w:tcW w:w="3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**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4,399.00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3,599.00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3,009.00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437.00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153.00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800.00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</w:t>
            </w:r>
          </w:p>
        </w:tc>
        <w:tc>
          <w:tcPr>
            <w:tcW w:w="3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4,399.00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3,599.00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3,009.00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437.00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153.00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800.00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</w:p>
        </w:tc>
        <w:tc>
          <w:tcPr>
            <w:tcW w:w="3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事业运行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3,557.00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2,757.00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2,190.00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437.00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800.00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208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05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</w:p>
        </w:tc>
        <w:tc>
          <w:tcPr>
            <w:tcW w:w="3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行政单位离退休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23.00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208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05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05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</w:p>
        </w:tc>
        <w:tc>
          <w:tcPr>
            <w:tcW w:w="3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机关事业单位基本养老保险缴费支出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351.00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351.00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351.00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208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</w:p>
        </w:tc>
        <w:tc>
          <w:tcPr>
            <w:tcW w:w="3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财政对工伤保险基金的补助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11.00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</w:p>
        </w:tc>
        <w:tc>
          <w:tcPr>
            <w:tcW w:w="3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行政单位医疗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247.00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247.00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247.00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</w:p>
        </w:tc>
        <w:tc>
          <w:tcPr>
            <w:tcW w:w="3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其他行政事业单位医疗支出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7.00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221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</w:p>
        </w:tc>
        <w:tc>
          <w:tcPr>
            <w:tcW w:w="3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住房公积金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203.00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203.00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203.00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tbl>
      <w:tblPr>
        <w:tblStyle w:val="5"/>
        <w:tblW w:w="16397" w:type="dxa"/>
        <w:jc w:val="center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47"/>
        <w:gridCol w:w="3468"/>
        <w:gridCol w:w="2767"/>
        <w:gridCol w:w="3365"/>
        <w:gridCol w:w="2919"/>
        <w:gridCol w:w="273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  <w:jc w:val="center"/>
        </w:trPr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预算06表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1" w:hRule="atLeast"/>
          <w:jc w:val="center"/>
        </w:trPr>
        <w:tc>
          <w:tcPr>
            <w:tcW w:w="163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一般公共预算基本支出表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单位：百元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经济科目</w:t>
            </w:r>
          </w:p>
        </w:tc>
        <w:tc>
          <w:tcPr>
            <w:tcW w:w="34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经济科目</w:t>
            </w:r>
          </w:p>
        </w:tc>
        <w:tc>
          <w:tcPr>
            <w:tcW w:w="27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单位代码</w:t>
            </w:r>
          </w:p>
        </w:tc>
        <w:tc>
          <w:tcPr>
            <w:tcW w:w="3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56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一般公共预算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小计</w:t>
            </w:r>
          </w:p>
        </w:tc>
        <w:tc>
          <w:tcPr>
            <w:tcW w:w="27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其中：财政拨款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**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**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**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**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3,599.00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3,599.00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3,599.00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3,599.00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3,009.00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3,009.00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30101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基本工资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1,584.00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1,584.00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30102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津贴补贴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437.00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437.00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30103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奖金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169.00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169.00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30108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机关事业单位基本养老保险缴费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351.00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351.00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30110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城镇职工基本医疗保险缴费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130.00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30112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其他社会保障缴费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135.00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30113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住房公积金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203.00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商品和服务支出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437.00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437.00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30201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办公费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80.00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30229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福利费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51.00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30239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其他交通费用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306.00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306.00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对个人和家庭的补助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153.00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153.00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30302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退休费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23.00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30305</w:t>
            </w:r>
          </w:p>
        </w:tc>
        <w:tc>
          <w:tcPr>
            <w:tcW w:w="3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生活补助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134</w:t>
            </w:r>
          </w:p>
        </w:tc>
        <w:tc>
          <w:tcPr>
            <w:tcW w:w="3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调查研究室</w:t>
            </w:r>
          </w:p>
        </w:tc>
        <w:tc>
          <w:tcPr>
            <w:tcW w:w="2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130.00</w:t>
            </w:r>
          </w:p>
        </w:tc>
        <w:tc>
          <w:tcPr>
            <w:tcW w:w="27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130.00</w:t>
            </w:r>
          </w:p>
        </w:tc>
      </w:tr>
    </w:tbl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tbl>
      <w:tblPr>
        <w:tblStyle w:val="5"/>
        <w:tblW w:w="14655" w:type="dxa"/>
        <w:jc w:val="center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704"/>
        <w:gridCol w:w="3324"/>
        <w:gridCol w:w="3288"/>
        <w:gridCol w:w="3339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4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预算07表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146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一般公共预算“三公”经费支出表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单位：百元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2020年预算数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上年预算数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增减（%）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1、因公出国（境）费用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2、公务接待费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3、公务用车费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其中：（1）公务用车运行维护费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（2）公务用车购置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tbl>
      <w:tblPr>
        <w:tblStyle w:val="5"/>
        <w:tblW w:w="17055" w:type="dxa"/>
        <w:jc w:val="center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72"/>
        <w:gridCol w:w="672"/>
        <w:gridCol w:w="672"/>
        <w:gridCol w:w="984"/>
        <w:gridCol w:w="3720"/>
        <w:gridCol w:w="1272"/>
        <w:gridCol w:w="1284"/>
        <w:gridCol w:w="1272"/>
        <w:gridCol w:w="1428"/>
        <w:gridCol w:w="1260"/>
        <w:gridCol w:w="1272"/>
        <w:gridCol w:w="1272"/>
        <w:gridCol w:w="127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  <w:jc w:val="center"/>
        </w:trPr>
        <w:tc>
          <w:tcPr>
            <w:tcW w:w="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预算08表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  <w:jc w:val="center"/>
        </w:trPr>
        <w:tc>
          <w:tcPr>
            <w:tcW w:w="170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政府性基金预算支出表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单位：百元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984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单位代码</w:t>
            </w:r>
          </w:p>
        </w:tc>
        <w:tc>
          <w:tcPr>
            <w:tcW w:w="3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单位（科目名称）</w:t>
            </w:r>
          </w:p>
        </w:tc>
        <w:tc>
          <w:tcPr>
            <w:tcW w:w="12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  计</w:t>
            </w:r>
          </w:p>
        </w:tc>
        <w:tc>
          <w:tcPr>
            <w:tcW w:w="52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38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项目支出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类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款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984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小计</w:t>
            </w:r>
          </w:p>
        </w:tc>
        <w:tc>
          <w:tcPr>
            <w:tcW w:w="12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14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商品和服务支出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对个人和家庭的补助</w:t>
            </w:r>
          </w:p>
        </w:tc>
        <w:tc>
          <w:tcPr>
            <w:tcW w:w="12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2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经常性项目支出</w:t>
            </w:r>
          </w:p>
        </w:tc>
        <w:tc>
          <w:tcPr>
            <w:tcW w:w="12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重点项目支出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5" w:hRule="atLeast"/>
          <w:jc w:val="center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84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12"/>
                <w:lang w:val="en-US" w:eastAsia="zh-CN" w:bidi="ar"/>
              </w:rPr>
              <w:t>**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12"/>
                <w:lang w:val="en-US" w:eastAsia="zh-CN" w:bidi="ar"/>
              </w:rPr>
              <w:t>**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12"/>
                <w:lang w:val="en-US" w:eastAsia="zh-CN" w:bidi="ar"/>
              </w:rPr>
              <w:t>**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12"/>
                <w:lang w:val="en-US" w:eastAsia="zh-CN" w:bidi="ar"/>
              </w:rPr>
              <w:t>**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12"/>
                <w:lang w:val="en-US" w:eastAsia="zh-CN" w:bidi="ar"/>
              </w:rPr>
              <w:t>**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/>
          <w:sz w:val="32"/>
          <w:szCs w:val="32"/>
          <w:lang w:eastAsia="zh-CN"/>
        </w:rPr>
      </w:pPr>
    </w:p>
    <w:tbl>
      <w:tblPr>
        <w:tblStyle w:val="5"/>
        <w:tblW w:w="10500" w:type="dxa"/>
        <w:jc w:val="center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596"/>
        <w:gridCol w:w="2904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  <w:jc w:val="center"/>
        </w:trPr>
        <w:tc>
          <w:tcPr>
            <w:tcW w:w="10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九、国有资本经营预算支出情况表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单位：百元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13"/>
                <w:lang w:val="en-US" w:eastAsia="zh-CN" w:bidi="ar"/>
              </w:rPr>
              <w:t>项</w:t>
            </w: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</w:t>
            </w:r>
            <w:r>
              <w:rPr>
                <w:rStyle w:val="13"/>
                <w:lang w:val="en-US" w:eastAsia="zh-CN" w:bidi="ar"/>
              </w:rPr>
              <w:t>目</w:t>
            </w:r>
          </w:p>
        </w:tc>
        <w:tc>
          <w:tcPr>
            <w:tcW w:w="2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2020年预算数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一、国有资本经营预算支出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解决历史遗留问题及改革成本支出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厂办大集体改革支出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“三供一业”移交补助支出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国有企业办职教幼教补助支出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……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其他解决历史遗留问题及改革成本支出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国有企业资本金注入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国有经济结构调整支出  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公益性设施投资支出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前瞻性战略性产业发展支出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……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其他国有企业资本金注入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国有企业政策性补贴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国有企业政策性补贴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金融国有资本经营预算支出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资本性支出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改革性支出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其他金融国有资本经营预算支出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其他国有资本经营预算支出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其他国有资本经营预算支出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二、转移性支出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国有资本经营预算转移支付支出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国有资本经营预算转移支付支出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调出资金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7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    国有资本经营预算调出资金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备注：无此项预算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left"/>
        <w:textAlignment w:val="auto"/>
        <w:rPr>
          <w:rFonts w:hint="eastAsia" w:ascii="黑体" w:hAnsi="黑体" w:eastAsia="黑体"/>
          <w:sz w:val="32"/>
          <w:szCs w:val="32"/>
          <w:lang w:eastAsia="zh-CN"/>
        </w:rPr>
      </w:pPr>
    </w:p>
    <w:sectPr>
      <w:pgSz w:w="23811" w:h="16838" w:orient="landscape"/>
      <w:pgMar w:top="1803" w:right="1440" w:bottom="1803" w:left="1440" w:header="851" w:footer="992" w:gutter="0"/>
      <w:pgNumType w:fmt="numberInDash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-</w:t>
    </w:r>
    <w:r>
      <w:t xml:space="preserve"> 5 -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rPr>
        <w:rFonts w:ascii="仿宋_GB2312" w:eastAsia="仿宋_GB2312"/>
        <w:sz w:val="32"/>
        <w:szCs w:val="3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459F64"/>
    <w:multiLevelType w:val="singleLevel"/>
    <w:tmpl w:val="32459F64"/>
    <w:lvl w:ilvl="0" w:tentative="0">
      <w:start w:val="1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420"/>
  <w:drawingGridVerticalSpacing w:val="162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385B"/>
    <w:rsid w:val="0003135D"/>
    <w:rsid w:val="00040661"/>
    <w:rsid w:val="00046FE7"/>
    <w:rsid w:val="00090B85"/>
    <w:rsid w:val="000F3BC5"/>
    <w:rsid w:val="00100951"/>
    <w:rsid w:val="0010385B"/>
    <w:rsid w:val="00132430"/>
    <w:rsid w:val="00154428"/>
    <w:rsid w:val="00175B70"/>
    <w:rsid w:val="001B70D0"/>
    <w:rsid w:val="002061BC"/>
    <w:rsid w:val="0022209B"/>
    <w:rsid w:val="002431E4"/>
    <w:rsid w:val="00246273"/>
    <w:rsid w:val="0026624D"/>
    <w:rsid w:val="002859FC"/>
    <w:rsid w:val="0029675E"/>
    <w:rsid w:val="002A6ACA"/>
    <w:rsid w:val="002E58A4"/>
    <w:rsid w:val="002E6713"/>
    <w:rsid w:val="002F0BAB"/>
    <w:rsid w:val="002F5BB6"/>
    <w:rsid w:val="00304897"/>
    <w:rsid w:val="00304B1E"/>
    <w:rsid w:val="003103C3"/>
    <w:rsid w:val="003602FA"/>
    <w:rsid w:val="003746F0"/>
    <w:rsid w:val="00390F8E"/>
    <w:rsid w:val="003E2EA3"/>
    <w:rsid w:val="003F26D3"/>
    <w:rsid w:val="003F2B21"/>
    <w:rsid w:val="00415DBA"/>
    <w:rsid w:val="00440FDC"/>
    <w:rsid w:val="004728F7"/>
    <w:rsid w:val="0047649C"/>
    <w:rsid w:val="00487060"/>
    <w:rsid w:val="004A2A55"/>
    <w:rsid w:val="004E4E44"/>
    <w:rsid w:val="00522D1E"/>
    <w:rsid w:val="00532D59"/>
    <w:rsid w:val="00551205"/>
    <w:rsid w:val="00573AD7"/>
    <w:rsid w:val="00591D05"/>
    <w:rsid w:val="005C4183"/>
    <w:rsid w:val="005E3AE8"/>
    <w:rsid w:val="00600093"/>
    <w:rsid w:val="00607E9A"/>
    <w:rsid w:val="006436D3"/>
    <w:rsid w:val="006518FE"/>
    <w:rsid w:val="006A62C1"/>
    <w:rsid w:val="006B22A2"/>
    <w:rsid w:val="006E158C"/>
    <w:rsid w:val="00702521"/>
    <w:rsid w:val="00712BC2"/>
    <w:rsid w:val="00741FD1"/>
    <w:rsid w:val="00766705"/>
    <w:rsid w:val="0087484E"/>
    <w:rsid w:val="008A7B54"/>
    <w:rsid w:val="008F46A0"/>
    <w:rsid w:val="009339D4"/>
    <w:rsid w:val="00975382"/>
    <w:rsid w:val="00975BB6"/>
    <w:rsid w:val="0099355B"/>
    <w:rsid w:val="00997808"/>
    <w:rsid w:val="009B2BE6"/>
    <w:rsid w:val="009F3FF4"/>
    <w:rsid w:val="00A42EA9"/>
    <w:rsid w:val="00A562E2"/>
    <w:rsid w:val="00AC233F"/>
    <w:rsid w:val="00AE29BE"/>
    <w:rsid w:val="00B0549F"/>
    <w:rsid w:val="00B41496"/>
    <w:rsid w:val="00B43E39"/>
    <w:rsid w:val="00B52895"/>
    <w:rsid w:val="00BD138F"/>
    <w:rsid w:val="00C03581"/>
    <w:rsid w:val="00C0393B"/>
    <w:rsid w:val="00C465FF"/>
    <w:rsid w:val="00C63973"/>
    <w:rsid w:val="00C937A9"/>
    <w:rsid w:val="00D0036A"/>
    <w:rsid w:val="00D24601"/>
    <w:rsid w:val="00D3290D"/>
    <w:rsid w:val="00D43D2D"/>
    <w:rsid w:val="00D510C6"/>
    <w:rsid w:val="00D76323"/>
    <w:rsid w:val="00DC708F"/>
    <w:rsid w:val="00DD7164"/>
    <w:rsid w:val="00DE3260"/>
    <w:rsid w:val="00E1735C"/>
    <w:rsid w:val="00E42202"/>
    <w:rsid w:val="00E82013"/>
    <w:rsid w:val="00E8676B"/>
    <w:rsid w:val="00ED5AE2"/>
    <w:rsid w:val="00EE47B9"/>
    <w:rsid w:val="00F019A3"/>
    <w:rsid w:val="00F14BE7"/>
    <w:rsid w:val="00F723EF"/>
    <w:rsid w:val="00FC426B"/>
    <w:rsid w:val="00FD51F9"/>
    <w:rsid w:val="02E50274"/>
    <w:rsid w:val="07DE625B"/>
    <w:rsid w:val="08DD1D7A"/>
    <w:rsid w:val="0C755D9D"/>
    <w:rsid w:val="0D9867BB"/>
    <w:rsid w:val="0F27510B"/>
    <w:rsid w:val="133611AC"/>
    <w:rsid w:val="14A05A30"/>
    <w:rsid w:val="1A172C32"/>
    <w:rsid w:val="1ADB0EF3"/>
    <w:rsid w:val="1C7816E1"/>
    <w:rsid w:val="1E8A4452"/>
    <w:rsid w:val="1F803CC6"/>
    <w:rsid w:val="2467792B"/>
    <w:rsid w:val="3ACE3C26"/>
    <w:rsid w:val="3CDB31AA"/>
    <w:rsid w:val="3DF71437"/>
    <w:rsid w:val="42497358"/>
    <w:rsid w:val="4549155B"/>
    <w:rsid w:val="55AB2276"/>
    <w:rsid w:val="580E4CAB"/>
    <w:rsid w:val="5C82432B"/>
    <w:rsid w:val="605A307B"/>
    <w:rsid w:val="61A73FF8"/>
    <w:rsid w:val="67052C05"/>
    <w:rsid w:val="6D651339"/>
    <w:rsid w:val="71267044"/>
    <w:rsid w:val="72CD55C3"/>
    <w:rsid w:val="78E47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jc w:val="left"/>
    </w:pPr>
    <w:rPr>
      <w:kern w:val="0"/>
      <w:sz w:val="24"/>
    </w:rPr>
  </w:style>
  <w:style w:type="character" w:styleId="7">
    <w:name w:val="Strong"/>
    <w:basedOn w:val="6"/>
    <w:qFormat/>
    <w:locked/>
    <w:uiPriority w:val="22"/>
    <w:rPr>
      <w:b/>
      <w:bCs/>
    </w:rPr>
  </w:style>
  <w:style w:type="character" w:styleId="8">
    <w:name w:val="Hyperlink"/>
    <w:basedOn w:val="6"/>
    <w:semiHidden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6"/>
    <w:link w:val="3"/>
    <w:semiHidden/>
    <w:qFormat/>
    <w:locked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0">
    <w:name w:val="页脚 Char"/>
    <w:basedOn w:val="6"/>
    <w:link w:val="2"/>
    <w:qFormat/>
    <w:locked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1">
    <w:name w:val="apple-converted-space"/>
    <w:basedOn w:val="6"/>
    <w:qFormat/>
    <w:uiPriority w:val="0"/>
  </w:style>
  <w:style w:type="character" w:customStyle="1" w:styleId="12">
    <w:name w:val="font01"/>
    <w:basedOn w:val="6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3">
    <w:name w:val="font31"/>
    <w:basedOn w:val="6"/>
    <w:qFormat/>
    <w:uiPriority w:val="0"/>
    <w:rPr>
      <w:rFonts w:hint="eastAsia" w:ascii="宋体" w:hAnsi="宋体" w:eastAsia="宋体" w:cs="宋体"/>
      <w:b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1" Type="http://schemas.openxmlformats.org/officeDocument/2006/relationships/fontTable" Target="fontTable.xml"/><Relationship Id="rId20" Type="http://schemas.openxmlformats.org/officeDocument/2006/relationships/customXml" Target="../customXml/item2.xml"/><Relationship Id="rId2" Type="http://schemas.openxmlformats.org/officeDocument/2006/relationships/settings" Target="settings.xml"/><Relationship Id="rId19" Type="http://schemas.openxmlformats.org/officeDocument/2006/relationships/numbering" Target="numbering.xml"/><Relationship Id="rId18" Type="http://schemas.openxmlformats.org/officeDocument/2006/relationships/customXml" Target="../customXml/item1.xml"/><Relationship Id="rId17" Type="http://schemas.openxmlformats.org/officeDocument/2006/relationships/image" Target="media/image4.emf"/><Relationship Id="rId16" Type="http://schemas.openxmlformats.org/officeDocument/2006/relationships/oleObject" Target="embeddings/oleObject4.bin"/><Relationship Id="rId15" Type="http://schemas.openxmlformats.org/officeDocument/2006/relationships/image" Target="media/image3.emf"/><Relationship Id="rId14" Type="http://schemas.openxmlformats.org/officeDocument/2006/relationships/oleObject" Target="embeddings/oleObject3.bin"/><Relationship Id="rId13" Type="http://schemas.openxmlformats.org/officeDocument/2006/relationships/image" Target="media/image2.emf"/><Relationship Id="rId12" Type="http://schemas.openxmlformats.org/officeDocument/2006/relationships/oleObject" Target="embeddings/oleObject2.bin"/><Relationship Id="rId11" Type="http://schemas.openxmlformats.org/officeDocument/2006/relationships/image" Target="media/image1.emf"/><Relationship Id="rId10" Type="http://schemas.openxmlformats.org/officeDocument/2006/relationships/oleObject" Target="embeddings/oleObject1.bin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4C4CAB8-BDA6-4D38-8F4A-1C188D9025A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2119</Words>
  <Characters>290</Characters>
  <Lines>2</Lines>
  <Paragraphs>4</Paragraphs>
  <TotalTime>1</TotalTime>
  <ScaleCrop>false</ScaleCrop>
  <LinksUpToDate>false</LinksUpToDate>
  <CharactersWithSpaces>2405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2017-06-14T00:51:00Z</dcterms:created>
  <dc:creator>lenovo</dc:creator>
  <cp:lastModifiedBy>Administrator</cp:lastModifiedBy>
  <cp:lastPrinted>2018-03-05T01:04:00Z</cp:lastPrinted>
  <dcterms:modified xsi:type="dcterms:W3CDTF">2021-06-16T22:51:48Z</dcterms:modified>
  <cp:revision>86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82B38AC5281940CB9F611771979DC35E</vt:lpwstr>
  </property>
</Properties>
</file>