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insoku w:val="0"/>
        <w:overflowPunct w:val="0"/>
        <w:adjustRightInd w:val="0"/>
        <w:snapToGrid w:val="0"/>
        <w:spacing w:line="360" w:lineRule="auto"/>
        <w:ind w:right="572" w:firstLine="640"/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201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9粮食局</w:t>
      </w:r>
      <w:r>
        <w:rPr>
          <w:rFonts w:hint="eastAsia" w:ascii="宋体" w:hAnsi="宋体" w:eastAsia="宋体" w:cs="宋体"/>
          <w:b/>
          <w:bCs/>
          <w:color w:val="454545"/>
          <w:kern w:val="0"/>
          <w:sz w:val="44"/>
          <w:szCs w:val="44"/>
        </w:rPr>
        <w:t>部门预算公开</w:t>
      </w:r>
    </w:p>
    <w:p>
      <w:pPr>
        <w:kinsoku w:val="0"/>
        <w:overflowPunct w:val="0"/>
        <w:adjustRightInd w:val="0"/>
        <w:snapToGrid w:val="0"/>
        <w:spacing w:line="360" w:lineRule="auto"/>
        <w:ind w:left="-142" w:right="51" w:firstLine="39"/>
        <w:jc w:val="center"/>
        <w:rPr>
          <w:rFonts w:ascii="黑体" w:eastAsia="黑体" w:cs="黑体"/>
          <w:sz w:val="56"/>
          <w:szCs w:val="56"/>
        </w:rPr>
      </w:pPr>
      <w:r>
        <w:rPr>
          <w:rFonts w:hint="eastAsia" w:ascii="黑体" w:eastAsia="黑体" w:cs="黑体"/>
          <w:sz w:val="56"/>
          <w:szCs w:val="56"/>
        </w:rPr>
        <w:t>目</w:t>
      </w:r>
      <w:r>
        <w:rPr>
          <w:rFonts w:ascii="黑体" w:eastAsia="黑体" w:cs="黑体"/>
          <w:spacing w:val="2"/>
          <w:sz w:val="56"/>
          <w:szCs w:val="56"/>
        </w:rPr>
        <w:t xml:space="preserve"> </w:t>
      </w:r>
      <w:r>
        <w:rPr>
          <w:rFonts w:hint="eastAsia" w:ascii="黑体" w:eastAsia="黑体" w:cs="黑体"/>
          <w:sz w:val="56"/>
          <w:szCs w:val="56"/>
        </w:rPr>
        <w:t>录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640"/>
        <w:rPr>
          <w:rFonts w:ascii="黑体" w:eastAsia="黑体" w:cs="黑体"/>
          <w:w w:val="99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第一部分</w:t>
      </w:r>
      <w:r>
        <w:rPr>
          <w:rFonts w:ascii="黑体" w:eastAsia="黑体" w:cs="黑体"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  <w:lang w:eastAsia="zh-CN"/>
        </w:rPr>
        <w:t>粮食局</w:t>
      </w:r>
      <w:r>
        <w:rPr>
          <w:rFonts w:hint="eastAsia" w:ascii="黑体" w:eastAsia="黑体" w:cs="黑体"/>
          <w:sz w:val="32"/>
          <w:szCs w:val="32"/>
        </w:rPr>
        <w:t>概况</w:t>
      </w:r>
      <w:r>
        <w:rPr>
          <w:rFonts w:ascii="黑体" w:eastAsia="黑体" w:cs="黑体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0"/>
        <w:rPr>
          <w:rFonts w:ascii="黑体" w:eastAsia="黑体" w:cs="黑体"/>
          <w:w w:val="99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第二部分</w:t>
      </w:r>
      <w:r>
        <w:rPr>
          <w:rFonts w:hint="eastAsia" w:asci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/>
          <w:sz w:val="32"/>
          <w:szCs w:val="32"/>
          <w:lang w:eastAsia="zh-CN"/>
        </w:rPr>
        <w:t>粮食局</w:t>
      </w:r>
      <w:r>
        <w:rPr>
          <w:rFonts w:ascii="黑体" w:eastAsia="黑体" w:cs="黑体"/>
          <w:sz w:val="32"/>
          <w:szCs w:val="32"/>
        </w:rPr>
        <w:t>201</w:t>
      </w:r>
      <w:r>
        <w:rPr>
          <w:rFonts w:hint="eastAsia" w:ascii="黑体" w:eastAsia="黑体" w:cs="黑体"/>
          <w:sz w:val="32"/>
          <w:szCs w:val="32"/>
          <w:lang w:val="en-US" w:eastAsia="zh-CN"/>
        </w:rPr>
        <w:t>9</w:t>
      </w:r>
      <w:r>
        <w:rPr>
          <w:rFonts w:hint="eastAsia" w:ascii="黑体" w:eastAsia="黑体" w:cs="黑体"/>
          <w:sz w:val="32"/>
          <w:szCs w:val="32"/>
        </w:rPr>
        <w:t>年度部门预算情况说明</w:t>
      </w:r>
      <w:r>
        <w:rPr>
          <w:rFonts w:ascii="黑体" w:eastAsia="黑体" w:cs="黑体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0"/>
        <w:rPr>
          <w:rFonts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第三部分</w:t>
      </w:r>
      <w:r>
        <w:rPr>
          <w:rFonts w:ascii="黑体" w:eastAsia="黑体" w:cs="黑体"/>
          <w:spacing w:val="-32"/>
          <w:sz w:val="32"/>
          <w:szCs w:val="32"/>
        </w:rPr>
        <w:t xml:space="preserve"> </w:t>
      </w:r>
      <w:r>
        <w:rPr>
          <w:rFonts w:hint="eastAsia" w:ascii="黑体" w:eastAsia="黑体" w:cs="黑体"/>
          <w:sz w:val="32"/>
          <w:szCs w:val="32"/>
        </w:rPr>
        <w:t>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/>
        <w:rPr>
          <w:rFonts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</w:rPr>
        <w:t>附件：</w:t>
      </w:r>
      <w:r>
        <w:rPr>
          <w:rFonts w:hint="eastAsia" w:ascii="黑体" w:eastAsia="黑体" w:cs="黑体"/>
          <w:spacing w:val="-32"/>
          <w:sz w:val="32"/>
          <w:szCs w:val="32"/>
          <w:lang w:eastAsia="zh-CN"/>
        </w:rPr>
        <w:t>粮食局</w:t>
      </w:r>
      <w:r>
        <w:rPr>
          <w:rFonts w:ascii="黑体" w:eastAsia="黑体" w:cs="黑体"/>
          <w:sz w:val="32"/>
          <w:szCs w:val="32"/>
        </w:rPr>
        <w:t>201</w:t>
      </w:r>
      <w:r>
        <w:rPr>
          <w:rFonts w:hint="eastAsia" w:ascii="黑体" w:eastAsia="黑体" w:cs="黑体"/>
          <w:sz w:val="32"/>
          <w:szCs w:val="32"/>
          <w:lang w:val="en-US" w:eastAsia="zh-CN"/>
        </w:rPr>
        <w:t>9</w:t>
      </w:r>
      <w:r>
        <w:rPr>
          <w:rFonts w:hint="eastAsia" w:ascii="黑体" w:eastAsia="黑体" w:cs="黑体"/>
          <w:sz w:val="32"/>
          <w:szCs w:val="32"/>
        </w:rPr>
        <w:t>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一、</w:t>
      </w:r>
      <w:r>
        <w:rPr>
          <w:rFonts w:hint="eastAsia" w:ascii="仿宋_GB2312" w:eastAsia="仿宋_GB2312"/>
          <w:sz w:val="32"/>
          <w:szCs w:val="32"/>
        </w:rPr>
        <w:t>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二、</w:t>
      </w:r>
      <w:r>
        <w:rPr>
          <w:rFonts w:hint="eastAsia" w:ascii="仿宋_GB2312" w:eastAsia="仿宋_GB2312"/>
          <w:sz w:val="32"/>
          <w:szCs w:val="32"/>
        </w:rPr>
        <w:t>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三、</w:t>
      </w:r>
      <w:r>
        <w:rPr>
          <w:rFonts w:hint="eastAsia" w:ascii="仿宋_GB2312" w:eastAsia="仿宋_GB2312"/>
          <w:sz w:val="32"/>
          <w:szCs w:val="32"/>
        </w:rPr>
        <w:t>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四、</w:t>
      </w:r>
      <w:r>
        <w:rPr>
          <w:rFonts w:hint="eastAsia" w:ascii="仿宋_GB2312" w:eastAsia="仿宋_GB2312"/>
          <w:sz w:val="32"/>
          <w:szCs w:val="32"/>
        </w:rPr>
        <w:t>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五、</w:t>
      </w:r>
      <w:r>
        <w:rPr>
          <w:rFonts w:hint="eastAsia" w:ascii="仿宋_GB2312" w:eastAsia="仿宋_GB2312"/>
          <w:sz w:val="32"/>
          <w:szCs w:val="32"/>
        </w:rPr>
        <w:t>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六、</w:t>
      </w:r>
      <w:r>
        <w:rPr>
          <w:rFonts w:hint="eastAsia" w:ascii="仿宋_GB2312" w:eastAsia="仿宋_GB2312"/>
          <w:sz w:val="32"/>
          <w:szCs w:val="32"/>
        </w:rPr>
        <w:t>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七、</w:t>
      </w:r>
      <w:r>
        <w:rPr>
          <w:rFonts w:hint="eastAsia" w:ascii="仿宋_GB2312" w:eastAsia="仿宋_GB2312"/>
          <w:sz w:val="32"/>
          <w:szCs w:val="32"/>
        </w:rPr>
        <w:t>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八、</w:t>
      </w:r>
      <w:r>
        <w:rPr>
          <w:rFonts w:hint="eastAsia" w:ascii="仿宋_GB2312" w:eastAsia="仿宋_GB2312"/>
          <w:sz w:val="32"/>
          <w:szCs w:val="32"/>
        </w:rPr>
        <w:t>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/>
        <w:jc w:val="left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 w:cs="仿宋_GB2312"/>
          <w:sz w:val="32"/>
          <w:szCs w:val="32"/>
          <w:lang w:eastAsia="zh-CN"/>
        </w:rPr>
        <w:t>九、国有资本经营预算支出情况表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360" w:lineRule="auto"/>
        <w:ind w:left="0" w:right="51" w:firstLine="9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kinsoku w:val="0"/>
        <w:overflowPunct w:val="0"/>
        <w:adjustRightInd w:val="0"/>
        <w:snapToGrid w:val="0"/>
        <w:spacing w:before="0" w:beforeAutospacing="0" w:after="0" w:afterAutospacing="0" w:line="360" w:lineRule="auto"/>
        <w:ind w:left="101" w:right="521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  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第一部分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项城市粮食局概况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80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一、项城市粮食局主要职能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1、贯彻执行国家粮食流通和粮食政策，推动国有粮食企业改革。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2、承担粮油监测应急责任，指导协调粮食最低收购价等政策性粮食收购、全市军供和粮食产销合作。监督粮食经营者从事粮食购销、储存、运输、政策性用粮购销活动以及执行粮食流通统计情况。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3、承担市级储备粮食粮油行政管理责任，会同有关部门拟订市级储备粮食规模、总体布局和收购、销售计划，提出粮食收购市场准入标准建议。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4、指导全市粮食系统产业化经营、多种经营、连锁经营和行业安全生产工作。制定粮食系统粮油加工业发展规划，打击粮油商品生产经营中的假冒伪劣行为。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28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  5、负责全市粮油收购资格审核和稽查以及社会粮食流通统计工作，开展粮食流通的对外合作与交流。  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6、拟订全市粮食市场体系建设与发展规划并组织实施，编制全市粮油流通、仓储、加工设施建设规划，参与管理有关粮食流通设施市级投资项目。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7、指导全市粮食系统财务和内部审计工作，负责市粮食局所属企事业单位单位的财务和内部审计工作，监管市粮食局所属企事业单位的国有资产  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atLeas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 8、承担市政府交办的其它工作。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360" w:lineRule="auto"/>
        <w:ind w:left="0" w:right="3569" w:firstLine="9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二、部门预算单位构成</w:t>
      </w:r>
    </w:p>
    <w:p>
      <w:pPr>
        <w:keepNext w:val="0"/>
        <w:keepLines w:val="0"/>
        <w:widowControl/>
        <w:suppressLineNumbers w:val="0"/>
        <w:shd w:val="clear" w:color="auto" w:fill="FFFFFF"/>
        <w:spacing w:before="100" w:beforeAutospacing="1" w:after="100" w:afterAutospacing="1" w:line="450" w:lineRule="atLeast"/>
        <w:ind w:left="0" w:right="0" w:firstLine="64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项城市粮食局部门预算涵盖的预算单位包括：局机关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本级，本单位没有二级机构。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第二部分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年度部门预算情况说明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一、收入支出预算总体情况说明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年收入总计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万元，支出总计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万元，与201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8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年相比，收、支总计各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减少672.09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减少64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，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主要原因：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上年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结转资金安排支出687万元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，本年度无安排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二、收入预算总体情况说明</w:t>
      </w:r>
    </w:p>
    <w:p>
      <w:pPr>
        <w:keepNext w:val="0"/>
        <w:keepLines w:val="0"/>
        <w:widowControl/>
        <w:suppressLineNumbers w:val="0"/>
        <w:shd w:val="clear" w:color="auto" w:fill="FFFFFF"/>
        <w:spacing w:before="100" w:beforeAutospacing="1" w:after="100" w:afterAutospacing="1" w:line="560" w:lineRule="atLeast"/>
        <w:ind w:left="0" w:right="0" w:firstLine="64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年收入合计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万元，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与201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8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年相比，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收入支出减少672.09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减少64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，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主要原因：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上年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结转资金安排支出687万元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，本年度无安排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。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其中：一般公共预算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万元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三、支出预算总体情况说明</w:t>
      </w:r>
    </w:p>
    <w:p>
      <w:pPr>
        <w:keepNext w:val="0"/>
        <w:keepLines w:val="0"/>
        <w:widowControl/>
        <w:suppressLineNumbers w:val="0"/>
        <w:shd w:val="clear" w:color="auto" w:fill="FFFFFF"/>
        <w:spacing w:before="100" w:beforeAutospacing="1" w:after="100" w:afterAutospacing="1" w:line="560" w:lineRule="atLeast"/>
        <w:ind w:left="0" w:right="0" w:firstLine="64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年支出合计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万元，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与201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8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年相比，支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出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总计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减少672.09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减少64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，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主要原因：基本支出较上年增加43.66万元，结转资金安排支出687万元。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其中：基本支出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336.97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万元，占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89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%；项目支出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40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万元，占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11</w:t>
      </w: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  <w:lang w:val="en-US" w:eastAsia="zh-CN" w:bidi="ar"/>
        </w:rPr>
        <w:t>%</w:t>
      </w:r>
      <w:r>
        <w:rPr>
          <w:rFonts w:hint="eastAsia" w:ascii="宋体" w:hAnsi="宋体" w:cs="宋体"/>
          <w:kern w:val="0"/>
          <w:sz w:val="28"/>
          <w:szCs w:val="28"/>
          <w:shd w:val="clear" w:color="auto" w:fill="FFFFFF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四、财政拨款收入支出预算总体情况说明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年一般公共预算收支预算 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万元。与 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8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年相比，一般公共预算收支预算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减少672.09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减少64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%，主要原因：一是随着工资制度改革，人员工资经费支出较上年增加较多；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二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是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上年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结转资金安排支出687万元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，本年度无安排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五、一般公共预算支出预算情况说明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年一般公共预算支出年初预算为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万元。主要用于以下方面：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粮油物资储备支出293.77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万元，占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78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%；社会保障和就业支出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41.22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万元，占1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1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%；医疗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健康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支出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22.91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万元，占 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%；住房保障（类）支出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19.07万元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，占 5%。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六、一般公共预算基本支出预算情况说明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年一般公共预算基本支出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376.97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万元，其中：</w:t>
      </w:r>
      <w:r>
        <w:rPr>
          <w:rStyle w:val="9"/>
          <w:rFonts w:hint="eastAsia" w:ascii="宋体" w:hAnsi="宋体" w:eastAsia="宋体" w:cs="宋体"/>
          <w:spacing w:val="-1"/>
          <w:kern w:val="0"/>
          <w:sz w:val="28"/>
          <w:szCs w:val="28"/>
          <w:lang w:val="en-US" w:eastAsia="zh-CN" w:bidi="ar"/>
        </w:rPr>
        <w:t>人员经费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294.47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万元，主要包括：基本工资、津贴补贴、 奖金、社会保障缴费、绩效工资、其他工资福利支出、抚恤金、生活补助、 医疗费、奖励金、住房公积金、 其他对个人和家庭的补助支出；</w:t>
      </w:r>
      <w:r>
        <w:rPr>
          <w:rStyle w:val="9"/>
          <w:rFonts w:hint="eastAsia" w:ascii="宋体" w:hAnsi="宋体" w:eastAsia="宋体" w:cs="宋体"/>
          <w:spacing w:val="-1"/>
          <w:kern w:val="0"/>
          <w:sz w:val="28"/>
          <w:szCs w:val="28"/>
          <w:lang w:val="en-US" w:eastAsia="zh-CN" w:bidi="ar"/>
        </w:rPr>
        <w:t>公用经费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42.5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万元，主要包括：办公费、印刷费、水费、电费、邮电费、差旅费、因公出国（境）费、维 修（护）费、会议费、培训费、公务接待费、专用材料费、劳务费、委托业务费、工会经费、福利费、公务用车运 行维护费、其他交通费用、其他商品和服务支出、办公设备购置、专用设备购置、大型修缮、信息网络及软件购置更新、其他资本性支出。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七、政府性基金预算支出决算情况说明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我局201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年没有使用政府性基金预算拨款安排的支出。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八、 “三公”经费支出预算情况说明</w:t>
      </w:r>
    </w:p>
    <w:p>
      <w:pPr>
        <w:keepNext w:val="0"/>
        <w:keepLines w:val="0"/>
        <w:widowControl/>
        <w:suppressLineNumbers w:val="0"/>
        <w:spacing w:before="100" w:beforeAutospacing="1" w:after="100" w:afterAutospacing="1" w:line="560" w:lineRule="exact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我局201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年“三公”经费预算为0.32万元。与2018年预算持平，无变动数据。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具体支出情况如下：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1、因公出国（境）费0万元。全年安排因公出国（境）团组0个，全年因公出国（境）累计0人次。与上年持平。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2、公务用车购置及运行费0万元，其中，公务用车购置费0万元；公务用车运行维护费0万元，主要用于开展工作所需公务用车的燃料费、维修费、过路过桥费、保险费、安全奖励费用等支出。公务用车购置费预算数与2019年持平。公务用车运行维护费预算数与2019年持平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3、公务接待费支出0万元。其中：外宾接待支出0万元；其他国内公务接待支出0万元。我单位严格执行中央八项规定和本市相关规定、严格执行公务接待标准、控制接待人次。</w:t>
      </w:r>
    </w:p>
    <w:p>
      <w:pPr>
        <w:numPr>
          <w:ilvl w:val="0"/>
          <w:numId w:val="0"/>
        </w:numPr>
        <w:spacing w:line="560" w:lineRule="exact"/>
        <w:ind w:firstLine="643"/>
        <w:rPr>
          <w:rFonts w:hint="eastAsia" w:ascii="仿宋_GB2312" w:hAnsi="宋体" w:eastAsia="仿宋_GB2312" w:cs="Courier New"/>
          <w:b/>
          <w:bCs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_GB2312" w:hAnsi="宋体" w:eastAsia="仿宋_GB2312" w:cs="Courier New"/>
          <w:b/>
          <w:bCs/>
          <w:sz w:val="32"/>
          <w:szCs w:val="32"/>
          <w:lang w:eastAsia="zh-CN"/>
        </w:rPr>
        <w:t>九、国有资本经营预算支出情况说明</w:t>
      </w:r>
    </w:p>
    <w:p>
      <w:pPr>
        <w:spacing w:line="560" w:lineRule="exact"/>
        <w:ind w:firstLine="640"/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我</w:t>
      </w:r>
      <w:r>
        <w:rPr>
          <w:rFonts w:hint="eastAsia" w:ascii="仿宋_GB2312" w:hAnsi="宋体" w:eastAsia="仿宋_GB2312" w:cs="Courier New"/>
          <w:sz w:val="32"/>
          <w:szCs w:val="32"/>
        </w:rPr>
        <w:t>单位201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Courier New"/>
          <w:sz w:val="32"/>
          <w:szCs w:val="32"/>
        </w:rPr>
        <w:t>年没有使用</w:t>
      </w:r>
      <w:r>
        <w:rPr>
          <w:rFonts w:hint="eastAsia" w:ascii="仿宋_GB2312" w:hAnsi="宋体" w:eastAsia="仿宋_GB2312" w:cs="Courier New"/>
          <w:sz w:val="32"/>
          <w:szCs w:val="32"/>
          <w:lang w:eastAsia="zh-CN"/>
        </w:rPr>
        <w:t>国有资本经营</w:t>
      </w:r>
      <w:r>
        <w:rPr>
          <w:rFonts w:hint="eastAsia" w:ascii="仿宋_GB2312" w:hAnsi="宋体" w:eastAsia="仿宋_GB2312" w:cs="Courier New"/>
          <w:sz w:val="32"/>
          <w:szCs w:val="32"/>
        </w:rPr>
        <w:t>预算拨款安排的支出。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right="0"/>
        <w:jc w:val="left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56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cs="宋体"/>
          <w:spacing w:val="-1"/>
          <w:kern w:val="0"/>
          <w:sz w:val="28"/>
          <w:szCs w:val="28"/>
          <w:lang w:val="en-US" w:eastAsia="zh-CN" w:bidi="ar"/>
        </w:rPr>
        <w:t>十</w:t>
      </w:r>
      <w:r>
        <w:rPr>
          <w:rFonts w:hint="eastAsia" w:ascii="宋体" w:hAnsi="宋体" w:eastAsia="宋体" w:cs="宋体"/>
          <w:spacing w:val="-1"/>
          <w:kern w:val="0"/>
          <w:sz w:val="28"/>
          <w:szCs w:val="28"/>
          <w:lang w:val="en-US" w:eastAsia="zh-CN" w:bidi="ar"/>
        </w:rPr>
        <w:t>、其他重要事项的情况说明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2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Style w:val="9"/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（一）机关运行经费支出情况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项城市粮食局201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年机关运行经费支出预算 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42.5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万元，主要保障机关机构正常运转及正常履职需要的办公费、公务交通、水电费、物业费、维修费、差旅费等支出。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2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Style w:val="9"/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（二）政府采购支出情况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年政府采购预算安排0万元。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2"/>
        <w:jc w:val="left"/>
        <w:outlineLvl w:val="0"/>
        <w:rPr>
          <w:rFonts w:hint="eastAsia" w:ascii="宋体" w:hAnsi="宋体" w:eastAsia="宋体" w:cs="宋体"/>
          <w:sz w:val="28"/>
          <w:szCs w:val="28"/>
        </w:rPr>
      </w:pPr>
      <w:r>
        <w:rPr>
          <w:rStyle w:val="9"/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（四）关于预算部门构成说明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560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201</w:t>
      </w:r>
      <w:r>
        <w:rPr>
          <w:rFonts w:hint="eastAsia" w:ascii="宋体" w:hAnsi="宋体" w:cs="宋体"/>
          <w:kern w:val="0"/>
          <w:sz w:val="28"/>
          <w:szCs w:val="28"/>
          <w:lang w:val="en-US" w:eastAsia="zh-CN" w:bidi="ar"/>
        </w:rPr>
        <w:t>9</w:t>
      </w: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年我局按照市财政预算公开要求，将所属预算单位全部纳入预算公开范围。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十一、</w:t>
      </w:r>
      <w:r>
        <w:rPr>
          <w:rFonts w:hint="eastAsia" w:ascii="黑体" w:hAnsi="黑体" w:eastAsia="黑体" w:cs="黑体"/>
          <w:sz w:val="32"/>
          <w:szCs w:val="32"/>
        </w:rPr>
        <w:t>国有资产占用情况说明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201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Courier New"/>
          <w:sz w:val="32"/>
          <w:szCs w:val="32"/>
        </w:rPr>
        <w:t>年度，本单位公务用车 0 辆，单位价值 50 万元以上通用设配 0 台（套），单位价值 100 万元以上专用设备 0 台（套）。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十二、</w:t>
      </w:r>
      <w:r>
        <w:rPr>
          <w:rFonts w:hint="eastAsia" w:ascii="黑体" w:hAnsi="黑体" w:eastAsia="黑体" w:cs="黑体"/>
          <w:sz w:val="32"/>
          <w:szCs w:val="32"/>
        </w:rPr>
        <w:t>重点项目预算的绩效目标等预算绩效情况说明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360" w:lineRule="auto"/>
        <w:ind w:firstLine="640"/>
        <w:rPr>
          <w:rFonts w:hint="eastAsia" w:ascii="仿宋_GB2312" w:hAnsi="宋体" w:eastAsia="仿宋_GB2312" w:cs="Courier New"/>
          <w:sz w:val="32"/>
          <w:szCs w:val="32"/>
        </w:rPr>
      </w:pPr>
      <w:r>
        <w:rPr>
          <w:rFonts w:hint="eastAsia" w:ascii="仿宋_GB2312" w:hAnsi="宋体" w:eastAsia="仿宋_GB2312" w:cs="Courier New"/>
          <w:sz w:val="32"/>
          <w:szCs w:val="32"/>
        </w:rPr>
        <w:t>201</w:t>
      </w:r>
      <w:r>
        <w:rPr>
          <w:rFonts w:hint="eastAsia" w:ascii="仿宋_GB2312" w:hAnsi="宋体" w:eastAsia="仿宋_GB2312" w:cs="Courier New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 w:cs="Courier New"/>
          <w:sz w:val="32"/>
          <w:szCs w:val="32"/>
        </w:rPr>
        <w:t>年度，本单位没有民生项目和重点支出项目，未开展预算绩效评价。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2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Style w:val="9"/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 </w:t>
      </w: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/>
        <w:jc w:val="center"/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adjustRightInd w:val="0"/>
        <w:snapToGrid w:val="0"/>
        <w:spacing w:before="100" w:beforeAutospacing="1" w:after="100" w:afterAutospacing="1" w:line="360" w:lineRule="auto"/>
        <w:ind w:left="0" w:right="0"/>
        <w:jc w:val="center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第三部分 名词解释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一、财政拨款收入：是指市级财政当年拨付的资金。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二、事业收入：是指事业单位开展专业活动及辅助活动所取 得的收入。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 xml:space="preserve">三、其他收入：是指部门取得的除“财政拨款”、“事业收入”、“事业单位经营收入”等以外的收入。 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 支差额的基金）弥补当年收支缺口的资金。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五、基本支出：是指为保障机构正常运转、完成日常工作任务所必需的开支，其内容包括人员经费和日常公用经费两部分。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六、项目支出：是指在基本支出之外，为完成特定的行政工作任务或事业发展目标所发生的支出。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七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eepNext w:val="0"/>
        <w:keepLines w:val="0"/>
        <w:widowControl/>
        <w:suppressLineNumbers w:val="0"/>
        <w:kinsoku w:val="0"/>
        <w:overflowPunct w:val="0"/>
        <w:autoSpaceDE w:val="0"/>
        <w:autoSpaceDN w:val="0"/>
        <w:adjustRightInd w:val="0"/>
        <w:snapToGrid w:val="0"/>
        <w:spacing w:before="100" w:beforeAutospacing="1" w:after="100" w:afterAutospacing="1" w:line="360" w:lineRule="auto"/>
        <w:ind w:left="0" w:right="0" w:firstLine="560"/>
        <w:jc w:val="lef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  <w:lang w:val="en-US" w:eastAsia="zh-CN" w:bidi="ar"/>
        </w:rPr>
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rPr>
          <w:rFonts w:hint="eastAsia" w:ascii="宋体" w:hAnsi="宋体" w:eastAsia="宋体" w:cs="宋体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94A2B"/>
    <w:rsid w:val="00F22BD2"/>
    <w:rsid w:val="04D03A48"/>
    <w:rsid w:val="04DD5C33"/>
    <w:rsid w:val="0520455E"/>
    <w:rsid w:val="05A561FD"/>
    <w:rsid w:val="07F60029"/>
    <w:rsid w:val="2115172C"/>
    <w:rsid w:val="227E3438"/>
    <w:rsid w:val="369E5620"/>
    <w:rsid w:val="37773CF5"/>
    <w:rsid w:val="3BF511B0"/>
    <w:rsid w:val="41BB55C6"/>
    <w:rsid w:val="4B702669"/>
    <w:rsid w:val="4C5F2CC7"/>
    <w:rsid w:val="4F9D148C"/>
    <w:rsid w:val="5A0830BC"/>
    <w:rsid w:val="5FA72E27"/>
    <w:rsid w:val="65B40067"/>
    <w:rsid w:val="6C7478A0"/>
    <w:rsid w:val="6DE84C6F"/>
    <w:rsid w:val="718D778F"/>
    <w:rsid w:val="7B666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rPr>
      <w:rFonts w:ascii="Times New Roman" w:hAnsi="Times New Roman" w:eastAsia="宋体" w:cs="Times New Roman"/>
    </w:rPr>
  </w:style>
  <w:style w:type="paragraph" w:styleId="2">
    <w:name w:val="heading 1"/>
    <w:basedOn w:val="1"/>
    <w:next w:val="1"/>
    <w:uiPriority w:val="0"/>
    <w:pPr>
      <w:spacing w:before="480"/>
    </w:pPr>
    <w:rPr>
      <w:b/>
      <w:color w:val="345A8A"/>
      <w:sz w:val="32"/>
    </w:rPr>
  </w:style>
  <w:style w:type="paragraph" w:styleId="3">
    <w:name w:val="heading 2"/>
    <w:basedOn w:val="1"/>
    <w:next w:val="1"/>
    <w:uiPriority w:val="0"/>
    <w:pPr>
      <w:spacing w:before="200"/>
    </w:pPr>
    <w:rPr>
      <w:b/>
      <w:color w:val="4F81BD"/>
      <w:sz w:val="26"/>
    </w:rPr>
  </w:style>
  <w:style w:type="paragraph" w:styleId="4">
    <w:name w:val="heading 3"/>
    <w:basedOn w:val="1"/>
    <w:next w:val="1"/>
    <w:uiPriority w:val="0"/>
    <w:pPr>
      <w:spacing w:before="200"/>
    </w:pPr>
    <w:rPr>
      <w:b/>
      <w:color w:val="4F81BD"/>
      <w:sz w:val="24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Subtitle"/>
    <w:basedOn w:val="1"/>
    <w:uiPriority w:val="0"/>
    <w:rPr>
      <w:i/>
      <w:color w:val="4F81BD"/>
      <w:sz w:val="24"/>
    </w:rPr>
  </w:style>
  <w:style w:type="paragraph" w:styleId="6">
    <w:name w:val="Title"/>
    <w:basedOn w:val="1"/>
    <w:uiPriority w:val="0"/>
    <w:pPr>
      <w:spacing w:after="300"/>
    </w:pPr>
    <w:rPr>
      <w:color w:val="17365D"/>
      <w:sz w:val="52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此经、流年</cp:lastModifiedBy>
  <dcterms:modified xsi:type="dcterms:W3CDTF">2021-06-17T08:27:05Z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3C81CAC88C0D4AE58DA1986FA141BDC1</vt:lpwstr>
  </property>
</Properties>
</file>