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jc w:val="center"/>
        <w:rPr>
          <w:rFonts w:hint="eastAsia" w:ascii="黑体" w:hAnsi="黑体" w:eastAsia="黑体"/>
          <w:color w:val="000000"/>
          <w:kern w:val="0"/>
          <w:sz w:val="52"/>
          <w:szCs w:val="52"/>
        </w:rPr>
      </w:pPr>
    </w:p>
    <w:p>
      <w:pPr>
        <w:jc w:val="center"/>
        <w:rPr>
          <w:rFonts w:hint="eastAsia" w:ascii="黑体" w:hAnsi="黑体" w:eastAsia="黑体"/>
          <w:color w:val="000000"/>
          <w:kern w:val="0"/>
          <w:sz w:val="52"/>
          <w:szCs w:val="52"/>
        </w:rPr>
      </w:pPr>
    </w:p>
    <w:p>
      <w:pPr>
        <w:jc w:val="center"/>
        <w:rPr>
          <w:rFonts w:hint="eastAsia" w:ascii="黑体" w:hAnsi="黑体" w:eastAsia="黑体"/>
          <w:color w:val="000000"/>
          <w:kern w:val="0"/>
          <w:sz w:val="52"/>
          <w:szCs w:val="52"/>
        </w:rPr>
      </w:pPr>
    </w:p>
    <w:p>
      <w:pPr>
        <w:jc w:val="center"/>
        <w:rPr>
          <w:rFonts w:hint="eastAsia" w:ascii="黑体" w:hAnsi="黑体" w:eastAsia="黑体"/>
          <w:color w:val="000000"/>
          <w:kern w:val="0"/>
          <w:sz w:val="52"/>
          <w:szCs w:val="52"/>
        </w:rPr>
      </w:pPr>
    </w:p>
    <w:p>
      <w:pPr>
        <w:jc w:val="center"/>
        <w:rPr>
          <w:rFonts w:hint="eastAsia" w:ascii="Times New Roman" w:hAnsi="Times New Roman" w:eastAsia="黑体"/>
          <w:color w:val="000000"/>
          <w:kern w:val="0"/>
          <w:sz w:val="20"/>
          <w:lang w:eastAsia="zh-CN"/>
        </w:rPr>
      </w:pPr>
      <w:r>
        <w:rPr>
          <w:rFonts w:hint="eastAsia" w:ascii="黑体" w:hAnsi="黑体" w:eastAsia="黑体"/>
          <w:color w:val="000000"/>
          <w:kern w:val="0"/>
          <w:sz w:val="52"/>
          <w:szCs w:val="52"/>
        </w:rPr>
        <w:t>项城市</w:t>
      </w:r>
      <w:r>
        <w:rPr>
          <w:rFonts w:hint="eastAsia" w:ascii="黑体" w:hAnsi="黑体" w:eastAsia="黑体"/>
          <w:color w:val="000000"/>
          <w:kern w:val="0"/>
          <w:sz w:val="52"/>
          <w:szCs w:val="52"/>
          <w:lang w:eastAsia="zh-CN"/>
        </w:rPr>
        <w:t>妇联</w:t>
      </w:r>
    </w:p>
    <w:p>
      <w:pPr>
        <w:jc w:val="center"/>
        <w:rPr>
          <w:rFonts w:ascii="Times New Roman" w:hAnsi="Times New Roman"/>
          <w:color w:val="000000"/>
          <w:kern w:val="0"/>
          <w:sz w:val="20"/>
        </w:rPr>
      </w:pPr>
      <w:r>
        <w:rPr>
          <w:rFonts w:hint="eastAsia" w:ascii="黑体" w:hAnsi="黑体" w:eastAsia="黑体"/>
          <w:color w:val="000000"/>
          <w:kern w:val="0"/>
          <w:sz w:val="52"/>
          <w:szCs w:val="52"/>
        </w:rPr>
        <w:t>2018年度部门决算</w:t>
      </w: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both"/>
        <w:rPr>
          <w:rStyle w:val="6"/>
          <w:rFonts w:hint="eastAsia" w:ascii="黑体" w:hAnsi="黑体" w:eastAsia="黑体" w:cs="黑体"/>
          <w:b w:val="0"/>
          <w:bCs/>
          <w:kern w:val="0"/>
          <w:sz w:val="48"/>
          <w:szCs w:val="48"/>
          <w:shd w:val="clear" w:color="auto" w:fill="FFFFFF"/>
        </w:rPr>
      </w:pPr>
    </w:p>
    <w:p>
      <w:pPr>
        <w:shd w:val="clear" w:color="auto" w:fill="FFFFFF"/>
        <w:spacing w:beforeAutospacing="1" w:afterAutospacing="1"/>
        <w:jc w:val="center"/>
        <w:rPr>
          <w:bCs/>
        </w:rPr>
      </w:pPr>
      <w:r>
        <w:rPr>
          <w:rStyle w:val="6"/>
          <w:rFonts w:hint="eastAsia" w:ascii="黑体" w:hAnsi="黑体" w:eastAsia="黑体" w:cs="黑体"/>
          <w:b w:val="0"/>
          <w:bCs/>
          <w:kern w:val="0"/>
          <w:sz w:val="48"/>
          <w:szCs w:val="48"/>
          <w:shd w:val="clear" w:color="auto" w:fill="FFFFFF"/>
        </w:rPr>
        <w:t>第一部分</w:t>
      </w:r>
      <w:r>
        <w:rPr>
          <w:rStyle w:val="6"/>
          <w:rFonts w:ascii="黑体" w:hAnsi="黑体" w:eastAsia="黑体" w:cs="黑体"/>
          <w:b w:val="0"/>
          <w:bCs/>
          <w:kern w:val="0"/>
          <w:sz w:val="48"/>
          <w:szCs w:val="48"/>
          <w:shd w:val="clear" w:color="auto" w:fill="FFFFFF"/>
        </w:rPr>
        <w:t xml:space="preserve">  </w:t>
      </w:r>
      <w:r>
        <w:rPr>
          <w:rStyle w:val="6"/>
          <w:rFonts w:hint="eastAsia" w:ascii="黑体" w:hAnsi="黑体" w:eastAsia="黑体" w:cs="黑体"/>
          <w:b w:val="0"/>
          <w:bCs/>
          <w:kern w:val="0"/>
          <w:sz w:val="48"/>
          <w:szCs w:val="48"/>
          <w:shd w:val="clear" w:color="auto" w:fill="FFFFFF"/>
        </w:rPr>
        <w:t>项城市妇联概况</w:t>
      </w:r>
    </w:p>
    <w:p>
      <w:pPr>
        <w:shd w:val="clear" w:color="auto" w:fill="FFFFFF"/>
        <w:spacing w:beforeAutospacing="1" w:afterAutospacing="1"/>
        <w:ind w:firstLine="800" w:firstLineChars="250"/>
        <w:jc w:val="left"/>
        <w:rPr>
          <w:rFonts w:ascii="黑体" w:hAnsi="黑体" w:eastAsia="黑体" w:cs="黑体"/>
        </w:rPr>
      </w:pPr>
      <w:r>
        <w:rPr>
          <w:rFonts w:hint="eastAsia" w:ascii="黑体" w:hAnsi="黑体" w:eastAsia="黑体" w:cs="黑体"/>
          <w:kern w:val="0"/>
          <w:sz w:val="32"/>
          <w:szCs w:val="32"/>
          <w:shd w:val="clear" w:color="auto" w:fill="FFFFFF"/>
        </w:rPr>
        <w:t>一、项城市妇联主要职责</w:t>
      </w:r>
    </w:p>
    <w:p>
      <w:pPr>
        <w:spacing w:afterLines="100"/>
        <w:ind w:firstLine="640" w:firstLineChars="200"/>
        <w:jc w:val="left"/>
        <w:rPr>
          <w:rFonts w:ascii="仿宋" w:hAnsi="仿宋" w:eastAsia="仿宋" w:cs="仿宋"/>
          <w:color w:val="646464"/>
          <w:kern w:val="0"/>
          <w:sz w:val="32"/>
          <w:szCs w:val="32"/>
        </w:rPr>
      </w:pPr>
      <w:r>
        <w:rPr>
          <w:rFonts w:ascii="仿宋" w:hAnsi="仿宋" w:eastAsia="仿宋" w:cs="仿宋"/>
          <w:color w:val="646464"/>
          <w:kern w:val="0"/>
          <w:sz w:val="32"/>
          <w:szCs w:val="32"/>
        </w:rPr>
        <w:t>1</w:t>
      </w:r>
      <w:r>
        <w:rPr>
          <w:rFonts w:hint="eastAsia" w:ascii="仿宋" w:hAnsi="仿宋" w:eastAsia="仿宋" w:cs="仿宋"/>
          <w:color w:val="646464"/>
          <w:kern w:val="0"/>
          <w:sz w:val="32"/>
          <w:szCs w:val="32"/>
        </w:rPr>
        <w:t>、坚持正确的政治方向，团结、教育全市各族各界妇女以及各类妇女组织同党中央在思想上、政治上、行动上保持高度一致。</w:t>
      </w:r>
    </w:p>
    <w:p>
      <w:pPr>
        <w:spacing w:afterLines="100"/>
        <w:ind w:firstLine="640" w:firstLineChars="200"/>
        <w:jc w:val="left"/>
        <w:rPr>
          <w:rFonts w:ascii="仿宋" w:hAnsi="仿宋" w:eastAsia="仿宋" w:cs="仿宋"/>
          <w:color w:val="646464"/>
          <w:kern w:val="0"/>
          <w:sz w:val="32"/>
          <w:szCs w:val="32"/>
        </w:rPr>
      </w:pPr>
      <w:r>
        <w:rPr>
          <w:rFonts w:ascii="仿宋" w:hAnsi="仿宋" w:eastAsia="仿宋" w:cs="仿宋"/>
          <w:color w:val="646464"/>
          <w:kern w:val="0"/>
          <w:sz w:val="32"/>
          <w:szCs w:val="32"/>
        </w:rPr>
        <w:t>2</w:t>
      </w:r>
      <w:r>
        <w:rPr>
          <w:rFonts w:hint="eastAsia" w:ascii="仿宋" w:hAnsi="仿宋" w:eastAsia="仿宋" w:cs="仿宋"/>
          <w:color w:val="646464"/>
          <w:kern w:val="0"/>
          <w:sz w:val="32"/>
          <w:szCs w:val="32"/>
        </w:rPr>
        <w:t>、紧密围绕市委、市政府的中心任务开展工作，团结、动员、组织全市妇女群众参与经济社会发展。</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3</w:t>
      </w:r>
      <w:r>
        <w:rPr>
          <w:rFonts w:hint="eastAsia" w:ascii="仿宋" w:hAnsi="仿宋" w:eastAsia="仿宋" w:cs="仿宋"/>
          <w:color w:val="646464"/>
          <w:kern w:val="0"/>
          <w:sz w:val="32"/>
          <w:szCs w:val="32"/>
        </w:rPr>
        <w:t>、宣传马克思主义妇女观和男女平等思想，教育、引导妇女树立正确的世界观、人生观、价值观，弘扬“自尊、自信、自立、自强”的精神，积极开展对妇女的科技文化及生产劳动技能教育，全面提高妇女素质。</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4</w:t>
      </w:r>
      <w:r>
        <w:rPr>
          <w:rFonts w:hint="eastAsia" w:ascii="仿宋" w:hAnsi="仿宋" w:eastAsia="仿宋" w:cs="仿宋"/>
          <w:color w:val="646464"/>
          <w:kern w:val="0"/>
          <w:sz w:val="32"/>
          <w:szCs w:val="32"/>
        </w:rPr>
        <w:t>、代表妇女参与社会事务的民主管理和民主监督；关注并积极研究涉及妇女切身利益的热点、难点问题，及时提出解决处理的建议；参与制定有关保护妇女儿童合法权益的政策并组织落实，切实维护妇女儿童合法权益。</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5</w:t>
      </w:r>
      <w:r>
        <w:rPr>
          <w:rFonts w:hint="eastAsia" w:ascii="仿宋" w:hAnsi="仿宋" w:eastAsia="仿宋" w:cs="仿宋"/>
          <w:color w:val="646464"/>
          <w:kern w:val="0"/>
          <w:sz w:val="32"/>
          <w:szCs w:val="32"/>
        </w:rPr>
        <w:t>、坚持为妇女儿童服务、为基层服务，加强与社会各界的联系，协调、推动社会各界为妇女儿童办好事、办实事。</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6</w:t>
      </w:r>
      <w:r>
        <w:rPr>
          <w:rFonts w:hint="eastAsia" w:ascii="仿宋" w:hAnsi="仿宋" w:eastAsia="仿宋" w:cs="仿宋"/>
          <w:color w:val="646464"/>
          <w:kern w:val="0"/>
          <w:sz w:val="32"/>
          <w:szCs w:val="32"/>
        </w:rPr>
        <w:t>、加强与社会各界妇女的联系，巩固和扩大各族各界妇女的大团结。积极发展同各地妇女和妇女组织的友好交往与合作，增进了解和友谊。</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7</w:t>
      </w:r>
      <w:r>
        <w:rPr>
          <w:rFonts w:hint="eastAsia" w:ascii="仿宋" w:hAnsi="仿宋" w:eastAsia="仿宋" w:cs="仿宋"/>
          <w:color w:val="646464"/>
          <w:kern w:val="0"/>
          <w:sz w:val="32"/>
          <w:szCs w:val="32"/>
        </w:rPr>
        <w:t>、加强妇联组织自身建设，指导建立健全各级妇联和基层妇女组织。指导各级妇女组织按照章程独立自主地开展工作。加强干部队伍建设，提高妇联干部的整体素质。</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8</w:t>
      </w:r>
      <w:r>
        <w:rPr>
          <w:rFonts w:hint="eastAsia" w:ascii="仿宋" w:hAnsi="仿宋" w:eastAsia="仿宋" w:cs="仿宋"/>
          <w:color w:val="646464"/>
          <w:kern w:val="0"/>
          <w:sz w:val="32"/>
          <w:szCs w:val="32"/>
        </w:rPr>
        <w:t>、承担市妇女儿童工作委员会的日常工作。</w:t>
      </w:r>
    </w:p>
    <w:p>
      <w:pPr>
        <w:spacing w:afterLines="100"/>
        <w:ind w:firstLine="640" w:firstLineChars="200"/>
        <w:jc w:val="left"/>
        <w:rPr>
          <w:rFonts w:ascii="仿宋" w:hAnsi="仿宋" w:eastAsia="仿宋" w:cs="仿宋"/>
          <w:sz w:val="32"/>
          <w:szCs w:val="32"/>
        </w:rPr>
      </w:pPr>
      <w:r>
        <w:rPr>
          <w:rFonts w:ascii="仿宋" w:hAnsi="仿宋" w:eastAsia="仿宋" w:cs="仿宋"/>
          <w:color w:val="646464"/>
          <w:kern w:val="0"/>
          <w:sz w:val="32"/>
          <w:szCs w:val="32"/>
        </w:rPr>
        <w:t>9</w:t>
      </w:r>
      <w:r>
        <w:rPr>
          <w:rFonts w:hint="eastAsia" w:ascii="仿宋" w:hAnsi="仿宋" w:eastAsia="仿宋" w:cs="仿宋"/>
          <w:color w:val="646464"/>
          <w:kern w:val="0"/>
          <w:sz w:val="32"/>
          <w:szCs w:val="32"/>
        </w:rPr>
        <w:t>、承办市委、市政府和上级妇联交办的其他事项。</w:t>
      </w:r>
    </w:p>
    <w:p>
      <w:pPr>
        <w:spacing w:beforeAutospacing="1" w:afterAutospacing="1"/>
        <w:ind w:firstLine="420" w:firstLineChars="200"/>
        <w:jc w:val="left"/>
        <w:rPr>
          <w:rFonts w:ascii="黑体" w:hAnsi="黑体" w:eastAsia="黑体" w:cs="黑体"/>
        </w:rPr>
      </w:pPr>
    </w:p>
    <w:p>
      <w:pPr>
        <w:shd w:val="clear" w:color="auto" w:fill="FFFFFF"/>
        <w:spacing w:beforeAutospacing="1" w:afterAutospacing="1"/>
        <w:ind w:firstLine="800" w:firstLineChars="250"/>
        <w:jc w:val="left"/>
        <w:rPr>
          <w:rFonts w:ascii="黑体" w:hAnsi="黑体" w:eastAsia="黑体" w:cs="黑体"/>
        </w:rPr>
      </w:pPr>
      <w:r>
        <w:rPr>
          <w:rFonts w:hint="eastAsia" w:ascii="黑体" w:hAnsi="黑体" w:eastAsia="黑体" w:cs="黑体"/>
          <w:kern w:val="0"/>
          <w:sz w:val="32"/>
          <w:szCs w:val="32"/>
          <w:shd w:val="clear" w:color="auto" w:fill="FFFFFF"/>
        </w:rPr>
        <w:t>二、项城市妇联部门决算单位构成</w:t>
      </w:r>
    </w:p>
    <w:p>
      <w:pPr>
        <w:spacing w:beforeAutospacing="1" w:afterAutospacing="1"/>
        <w:ind w:firstLine="640" w:firstLineChars="200"/>
        <w:jc w:val="left"/>
        <w:rPr>
          <w:rFonts w:ascii="仿宋" w:hAnsi="仿宋" w:eastAsia="仿宋" w:cs="仿宋"/>
        </w:rPr>
      </w:pPr>
      <w:r>
        <w:rPr>
          <w:rFonts w:hint="eastAsia" w:ascii="仿宋" w:hAnsi="仿宋" w:eastAsia="仿宋" w:cs="仿宋"/>
          <w:kern w:val="0"/>
          <w:sz w:val="32"/>
          <w:szCs w:val="32"/>
        </w:rPr>
        <w:t>项城市妇联部门决算只包括机关本级决算。</w:t>
      </w:r>
    </w:p>
    <w:p>
      <w:pPr>
        <w:spacing w:beforeAutospacing="1" w:afterAutospacing="1"/>
        <w:ind w:firstLine="640" w:firstLineChars="200"/>
        <w:jc w:val="left"/>
        <w:rPr>
          <w:rFonts w:ascii="仿宋" w:hAnsi="仿宋" w:eastAsia="仿宋" w:cs="仿宋"/>
          <w:kern w:val="0"/>
          <w:sz w:val="32"/>
          <w:szCs w:val="32"/>
        </w:rPr>
      </w:pPr>
      <w:r>
        <w:rPr>
          <w:rFonts w:ascii="仿宋" w:hAnsi="仿宋" w:eastAsia="仿宋" w:cs="仿宋"/>
          <w:kern w:val="0"/>
          <w:sz w:val="32"/>
          <w:szCs w:val="32"/>
        </w:rPr>
        <w:t> </w:t>
      </w:r>
    </w:p>
    <w:p>
      <w:pPr>
        <w:spacing w:beforeAutospacing="1" w:afterAutospacing="1"/>
        <w:ind w:firstLine="640" w:firstLineChars="200"/>
        <w:jc w:val="left"/>
        <w:rPr>
          <w:rFonts w:ascii="仿宋" w:hAnsi="仿宋" w:eastAsia="仿宋" w:cs="仿宋"/>
          <w:kern w:val="0"/>
          <w:sz w:val="32"/>
          <w:szCs w:val="32"/>
        </w:rPr>
      </w:pPr>
    </w:p>
    <w:p>
      <w:pPr>
        <w:spacing w:beforeAutospacing="1" w:afterAutospacing="1"/>
        <w:ind w:firstLine="640" w:firstLineChars="200"/>
        <w:jc w:val="left"/>
        <w:rPr>
          <w:rFonts w:ascii="仿宋" w:hAnsi="仿宋" w:eastAsia="仿宋" w:cs="仿宋"/>
          <w:kern w:val="0"/>
          <w:sz w:val="32"/>
          <w:szCs w:val="32"/>
        </w:rPr>
      </w:pPr>
    </w:p>
    <w:p>
      <w:pPr>
        <w:spacing w:beforeAutospacing="1" w:afterAutospacing="1"/>
        <w:jc w:val="center"/>
        <w:rPr>
          <w:rStyle w:val="6"/>
          <w:rFonts w:hint="eastAsia" w:ascii="黑体" w:hAnsi="黑体" w:eastAsia="黑体" w:cs="黑体"/>
          <w:b w:val="0"/>
          <w:bCs/>
          <w:kern w:val="0"/>
          <w:sz w:val="48"/>
          <w:szCs w:val="48"/>
        </w:rPr>
      </w:pPr>
    </w:p>
    <w:p>
      <w:pPr>
        <w:spacing w:beforeAutospacing="1" w:afterAutospacing="1"/>
        <w:jc w:val="center"/>
        <w:rPr>
          <w:rStyle w:val="6"/>
          <w:rFonts w:hint="eastAsia" w:ascii="黑体" w:hAnsi="黑体" w:eastAsia="黑体" w:cs="黑体"/>
          <w:b w:val="0"/>
          <w:bCs/>
          <w:kern w:val="0"/>
          <w:sz w:val="48"/>
          <w:szCs w:val="48"/>
        </w:rPr>
      </w:pPr>
    </w:p>
    <w:p>
      <w:pPr>
        <w:spacing w:beforeAutospacing="1" w:afterAutospacing="1"/>
        <w:jc w:val="center"/>
        <w:rPr>
          <w:rStyle w:val="6"/>
          <w:rFonts w:ascii="黑体" w:hAnsi="黑体" w:eastAsia="黑体" w:cs="黑体"/>
          <w:b w:val="0"/>
          <w:bCs/>
          <w:kern w:val="0"/>
          <w:sz w:val="48"/>
          <w:szCs w:val="48"/>
        </w:rPr>
      </w:pPr>
      <w:r>
        <w:rPr>
          <w:rStyle w:val="6"/>
          <w:rFonts w:hint="eastAsia" w:ascii="黑体" w:hAnsi="黑体" w:eastAsia="黑体" w:cs="黑体"/>
          <w:b w:val="0"/>
          <w:bCs/>
          <w:kern w:val="0"/>
          <w:sz w:val="48"/>
          <w:szCs w:val="48"/>
        </w:rPr>
        <w:t>第二部分</w:t>
      </w:r>
    </w:p>
    <w:p>
      <w:pPr>
        <w:spacing w:beforeAutospacing="1" w:afterAutospacing="1"/>
        <w:jc w:val="center"/>
        <w:rPr>
          <w:rStyle w:val="6"/>
          <w:rFonts w:hint="eastAsia" w:ascii="黑体" w:hAnsi="黑体" w:eastAsia="黑体" w:cs="黑体"/>
          <w:b w:val="0"/>
          <w:bCs/>
          <w:kern w:val="0"/>
          <w:sz w:val="48"/>
          <w:szCs w:val="48"/>
        </w:rPr>
      </w:pPr>
      <w:r>
        <w:rPr>
          <w:rStyle w:val="6"/>
          <w:rFonts w:hint="eastAsia" w:ascii="黑体" w:hAnsi="黑体" w:eastAsia="黑体" w:cs="黑体"/>
          <w:b w:val="0"/>
          <w:bCs/>
          <w:kern w:val="0"/>
          <w:sz w:val="48"/>
          <w:szCs w:val="48"/>
        </w:rPr>
        <w:t>项城市妇联</w:t>
      </w:r>
      <w:r>
        <w:rPr>
          <w:rStyle w:val="6"/>
          <w:rFonts w:ascii="黑体" w:hAnsi="黑体" w:eastAsia="黑体" w:cs="黑体"/>
          <w:b w:val="0"/>
          <w:bCs/>
          <w:kern w:val="0"/>
          <w:sz w:val="48"/>
          <w:szCs w:val="48"/>
        </w:rPr>
        <w:t>2018</w:t>
      </w:r>
      <w:r>
        <w:rPr>
          <w:rStyle w:val="6"/>
          <w:rFonts w:hint="eastAsia" w:ascii="黑体" w:hAnsi="黑体" w:eastAsia="黑体" w:cs="黑体"/>
          <w:b w:val="0"/>
          <w:bCs/>
          <w:kern w:val="0"/>
          <w:sz w:val="48"/>
          <w:szCs w:val="48"/>
        </w:rPr>
        <w:t>年度部门决算表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一、收入支出决算表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二、收入决算表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三、支出决算表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四、财政拨款收入支出决算总表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五、一般公共预算财政拨款支出决算表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六、一般公共预算财政拨款基本支出决算表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七、一般公共预算财政拨款“三公”经费支出决算表</w:t>
      </w:r>
    </w:p>
    <w:p>
      <w:pPr>
        <w:keepNext w:val="0"/>
        <w:keepLines w:val="0"/>
        <w:widowControl/>
        <w:suppressLineNumbers w:val="0"/>
        <w:spacing w:before="0" w:beforeAutospacing="1" w:after="0" w:afterAutospacing="1"/>
        <w:ind w:left="640" w:right="0"/>
        <w:jc w:val="left"/>
        <w:rPr>
          <w:rFonts w:hint="eastAsia" w:ascii="仿宋" w:hAnsi="仿宋" w:eastAsia="仿宋" w:cs="仿宋"/>
        </w:rPr>
      </w:pPr>
      <w:r>
        <w:rPr>
          <w:rFonts w:hint="eastAsia" w:ascii="仿宋" w:hAnsi="仿宋" w:eastAsia="仿宋" w:cs="仿宋"/>
          <w:kern w:val="0"/>
          <w:sz w:val="32"/>
          <w:szCs w:val="32"/>
          <w:lang w:val="en-US" w:eastAsia="zh-CN" w:bidi="ar"/>
        </w:rPr>
        <w:t>八、政府性基金预算财政拨款收入支出决算表</w:t>
      </w:r>
    </w:p>
    <w:p>
      <w:pPr>
        <w:spacing w:beforeAutospacing="1" w:afterAutospacing="1"/>
        <w:rPr>
          <w:rStyle w:val="6"/>
          <w:rFonts w:hint="eastAsia" w:ascii="黑体" w:hAnsi="黑体" w:eastAsia="黑体" w:cs="黑体"/>
          <w:b w:val="0"/>
          <w:bCs/>
          <w:kern w:val="0"/>
          <w:sz w:val="48"/>
          <w:szCs w:val="48"/>
        </w:rPr>
      </w:pPr>
    </w:p>
    <w:p>
      <w:pPr>
        <w:spacing w:beforeAutospacing="1" w:afterAutospacing="1"/>
        <w:rPr>
          <w:rStyle w:val="6"/>
          <w:rFonts w:hint="eastAsia" w:ascii="黑体" w:hAnsi="黑体" w:eastAsia="黑体" w:cs="黑体"/>
          <w:b w:val="0"/>
          <w:bCs/>
          <w:kern w:val="0"/>
          <w:sz w:val="48"/>
          <w:szCs w:val="48"/>
        </w:rPr>
      </w:pPr>
    </w:p>
    <w:p>
      <w:pPr>
        <w:spacing w:beforeAutospacing="1" w:afterAutospacing="1"/>
        <w:ind w:left="640"/>
        <w:jc w:val="center"/>
        <w:rPr>
          <w:rFonts w:ascii="仿宋" w:hAnsi="仿宋" w:eastAsia="仿宋" w:cs="仿宋"/>
          <w:kern w:val="0"/>
          <w:sz w:val="32"/>
          <w:szCs w:val="32"/>
        </w:rPr>
      </w:pPr>
      <w:r>
        <w:rPr>
          <w:rFonts w:hint="eastAsia" w:ascii="仿宋" w:hAnsi="仿宋" w:eastAsia="仿宋" w:cs="仿宋"/>
          <w:kern w:val="0"/>
          <w:sz w:val="32"/>
          <w:szCs w:val="32"/>
        </w:rPr>
        <w:t>一、收入支出决算表</w:t>
      </w:r>
    </w:p>
    <w:tbl>
      <w:tblPr>
        <w:tblStyle w:val="7"/>
        <w:tblW w:w="10680" w:type="dxa"/>
        <w:jc w:val="center"/>
        <w:tblInd w:w="0" w:type="dxa"/>
        <w:tblLayout w:type="fixed"/>
        <w:tblCellMar>
          <w:top w:w="0" w:type="dxa"/>
          <w:left w:w="108" w:type="dxa"/>
          <w:bottom w:w="0" w:type="dxa"/>
          <w:right w:w="108" w:type="dxa"/>
        </w:tblCellMar>
      </w:tblPr>
      <w:tblGrid>
        <w:gridCol w:w="2760"/>
        <w:gridCol w:w="580"/>
        <w:gridCol w:w="1640"/>
        <w:gridCol w:w="3260"/>
        <w:gridCol w:w="580"/>
        <w:gridCol w:w="1860"/>
      </w:tblGrid>
      <w:tr>
        <w:tblPrEx>
          <w:tblLayout w:type="fixed"/>
          <w:tblCellMar>
            <w:top w:w="0" w:type="dxa"/>
            <w:left w:w="108" w:type="dxa"/>
            <w:bottom w:w="0" w:type="dxa"/>
            <w:right w:w="108" w:type="dxa"/>
          </w:tblCellMar>
        </w:tblPrEx>
        <w:trPr>
          <w:cantSplit/>
          <w:trHeight w:val="390" w:hRule="atLeast"/>
          <w:jc w:val="center"/>
        </w:trPr>
        <w:tc>
          <w:tcPr>
            <w:tcW w:w="10680" w:type="dxa"/>
            <w:gridSpan w:val="6"/>
            <w:tcBorders>
              <w:top w:val="nil"/>
              <w:left w:val="nil"/>
              <w:bottom w:val="nil"/>
              <w:right w:val="nil"/>
            </w:tcBorders>
            <w:vAlign w:val="bottom"/>
          </w:tcPr>
          <w:p>
            <w:pPr>
              <w:jc w:val="center"/>
              <w:rPr>
                <w:rFonts w:ascii="Arial" w:hAnsi="Arial" w:cs="Arial"/>
                <w:color w:val="000000"/>
                <w:kern w:val="0"/>
                <w:sz w:val="20"/>
              </w:rPr>
            </w:pPr>
            <w:r>
              <w:rPr>
                <w:rFonts w:hint="eastAsia" w:ascii="宋体" w:hAnsi="宋体" w:cs="Arial"/>
                <w:color w:val="000000"/>
                <w:kern w:val="0"/>
                <w:sz w:val="30"/>
                <w:szCs w:val="30"/>
              </w:rPr>
              <w:t>收入支出决算总表</w:t>
            </w:r>
          </w:p>
        </w:tc>
      </w:tr>
      <w:tr>
        <w:tblPrEx>
          <w:tblLayout w:type="fixed"/>
          <w:tblCellMar>
            <w:top w:w="0" w:type="dxa"/>
            <w:left w:w="108" w:type="dxa"/>
            <w:bottom w:w="0" w:type="dxa"/>
            <w:right w:w="108" w:type="dxa"/>
          </w:tblCellMar>
        </w:tblPrEx>
        <w:trPr>
          <w:cantSplit/>
          <w:trHeight w:val="255" w:hRule="atLeast"/>
          <w:jc w:val="center"/>
        </w:trPr>
        <w:tc>
          <w:tcPr>
            <w:tcW w:w="10680" w:type="dxa"/>
            <w:gridSpan w:val="6"/>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01</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cantSplit/>
          <w:trHeight w:val="255" w:hRule="atLeast"/>
          <w:jc w:val="center"/>
        </w:trPr>
        <w:tc>
          <w:tcPr>
            <w:tcW w:w="4980" w:type="dxa"/>
            <w:gridSpan w:val="3"/>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3260" w:type="dxa"/>
            <w:tcBorders>
              <w:top w:val="nil"/>
              <w:left w:val="nil"/>
              <w:bottom w:val="nil"/>
              <w:right w:val="nil"/>
            </w:tcBorders>
            <w:vAlign w:val="bottom"/>
          </w:tcPr>
          <w:p>
            <w:pPr>
              <w:jc w:val="left"/>
              <w:rPr>
                <w:rFonts w:ascii="Arial" w:hAnsi="Arial" w:cs="Arial"/>
                <w:color w:val="000000"/>
                <w:kern w:val="0"/>
                <w:sz w:val="20"/>
              </w:rPr>
            </w:pPr>
          </w:p>
        </w:tc>
        <w:tc>
          <w:tcPr>
            <w:tcW w:w="580" w:type="dxa"/>
            <w:tcBorders>
              <w:top w:val="nil"/>
              <w:left w:val="nil"/>
              <w:bottom w:val="nil"/>
              <w:right w:val="nil"/>
            </w:tcBorders>
            <w:vAlign w:val="bottom"/>
          </w:tcPr>
          <w:p>
            <w:pPr>
              <w:jc w:val="left"/>
              <w:rPr>
                <w:rFonts w:ascii="Arial" w:hAnsi="Arial" w:cs="Arial"/>
                <w:color w:val="000000"/>
                <w:kern w:val="0"/>
                <w:sz w:val="20"/>
              </w:rPr>
            </w:pPr>
          </w:p>
        </w:tc>
        <w:tc>
          <w:tcPr>
            <w:tcW w:w="1860" w:type="dxa"/>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cantSplit/>
          <w:trHeight w:val="308" w:hRule="atLeast"/>
          <w:jc w:val="center"/>
        </w:trPr>
        <w:tc>
          <w:tcPr>
            <w:tcW w:w="4980"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收入</w:t>
            </w:r>
          </w:p>
        </w:tc>
        <w:tc>
          <w:tcPr>
            <w:tcW w:w="5700" w:type="dxa"/>
            <w:gridSpan w:val="3"/>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支出</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行次</w:t>
            </w:r>
          </w:p>
        </w:tc>
        <w:tc>
          <w:tcPr>
            <w:tcW w:w="16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金额</w:t>
            </w:r>
          </w:p>
        </w:tc>
        <w:tc>
          <w:tcPr>
            <w:tcW w:w="32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行次</w:t>
            </w:r>
          </w:p>
        </w:tc>
        <w:tc>
          <w:tcPr>
            <w:tcW w:w="18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金额</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　</w:t>
            </w:r>
          </w:p>
        </w:tc>
        <w:tc>
          <w:tcPr>
            <w:tcW w:w="16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32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　</w:t>
            </w:r>
          </w:p>
        </w:tc>
        <w:tc>
          <w:tcPr>
            <w:tcW w:w="18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一、财政拨款收入</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一、一般公共服务支出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28</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二、上级补助收入</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二、外交支出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29</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三、事业收入</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三、国防支出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30</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四、经营收入</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四、公共安全支出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31</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五、附属单位上缴收入</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五、教育支出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32</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六、其他收入</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6</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六、科学技术支出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33</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7</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七、文化体育与传媒支出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34</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8</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八、社会保障和就业支出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35</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9</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九、医疗卫生与计划生育支出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36</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10</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十、节能环保支出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37</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11</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十一、城乡社区支出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38</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12</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十二、农林水支出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39</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13</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十三、交通运输支出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40</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14</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十四、资源勘探信息等支出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41</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15</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十五、商业服务业等支出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42</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16</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十六、金融支出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43</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17</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十七、援助其他地区支出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44</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18</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十八、国土海洋气象等支出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45</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19</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十九、住房保障支出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46</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20</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二十、粮油物资储备支出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47</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21</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二十一、其他支出</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48</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22</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49</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本年收入合计</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23</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32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本年支出合计</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50</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用事业基金弥补收支差额</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24</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结余分配</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51</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年初结转和结余</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25</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年末结转和结余</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52</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26</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326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53</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cantSplit/>
          <w:trHeight w:val="308" w:hRule="atLeast"/>
          <w:jc w:val="center"/>
        </w:trPr>
        <w:tc>
          <w:tcPr>
            <w:tcW w:w="2760" w:type="dxa"/>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总计</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27</w:t>
            </w:r>
          </w:p>
        </w:tc>
        <w:tc>
          <w:tcPr>
            <w:tcW w:w="1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32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总计</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54</w:t>
            </w:r>
          </w:p>
        </w:tc>
        <w:tc>
          <w:tcPr>
            <w:tcW w:w="1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r>
      <w:tr>
        <w:tblPrEx>
          <w:tblLayout w:type="fixed"/>
          <w:tblCellMar>
            <w:top w:w="0" w:type="dxa"/>
            <w:left w:w="108" w:type="dxa"/>
            <w:bottom w:w="0" w:type="dxa"/>
            <w:right w:w="108" w:type="dxa"/>
          </w:tblCellMar>
        </w:tblPrEx>
        <w:trPr>
          <w:cantSplit/>
          <w:trHeight w:val="308" w:hRule="atLeast"/>
          <w:jc w:val="center"/>
        </w:trPr>
        <w:tc>
          <w:tcPr>
            <w:tcW w:w="10680" w:type="dxa"/>
            <w:gridSpan w:val="6"/>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注：本表反映部门本年度的总收支和年末结转结余情况。本表金额转换为万元时，因四舍五入可能存在尾差。</w:t>
            </w:r>
          </w:p>
        </w:tc>
      </w:tr>
    </w:tbl>
    <w:p>
      <w:pPr>
        <w:spacing w:beforeAutospacing="1" w:afterAutospacing="1"/>
        <w:jc w:val="center"/>
        <w:rPr>
          <w:rFonts w:ascii="仿宋" w:hAnsi="仿宋" w:eastAsia="仿宋" w:cs="仿宋"/>
          <w:kern w:val="0"/>
          <w:sz w:val="32"/>
          <w:szCs w:val="32"/>
        </w:rPr>
      </w:pPr>
      <w:r>
        <w:rPr>
          <w:rFonts w:hint="eastAsia" w:ascii="仿宋" w:hAnsi="仿宋" w:eastAsia="仿宋" w:cs="仿宋"/>
          <w:kern w:val="0"/>
          <w:sz w:val="32"/>
          <w:szCs w:val="32"/>
        </w:rPr>
        <w:t>二、收入决算表</w:t>
      </w:r>
    </w:p>
    <w:tbl>
      <w:tblPr>
        <w:tblStyle w:val="7"/>
        <w:tblW w:w="11723" w:type="dxa"/>
        <w:jc w:val="center"/>
        <w:tblInd w:w="0" w:type="dxa"/>
        <w:tblLayout w:type="fixed"/>
        <w:tblCellMar>
          <w:top w:w="0" w:type="dxa"/>
          <w:left w:w="108" w:type="dxa"/>
          <w:bottom w:w="0" w:type="dxa"/>
          <w:right w:w="108" w:type="dxa"/>
        </w:tblCellMar>
      </w:tblPr>
      <w:tblGrid>
        <w:gridCol w:w="986"/>
        <w:gridCol w:w="3550"/>
        <w:gridCol w:w="1660"/>
        <w:gridCol w:w="1600"/>
        <w:gridCol w:w="820"/>
        <w:gridCol w:w="660"/>
        <w:gridCol w:w="660"/>
        <w:gridCol w:w="760"/>
        <w:gridCol w:w="1027"/>
      </w:tblGrid>
      <w:tr>
        <w:tblPrEx>
          <w:tblLayout w:type="fixed"/>
          <w:tblCellMar>
            <w:top w:w="0" w:type="dxa"/>
            <w:left w:w="108" w:type="dxa"/>
            <w:bottom w:w="0" w:type="dxa"/>
            <w:right w:w="108" w:type="dxa"/>
          </w:tblCellMar>
        </w:tblPrEx>
        <w:trPr>
          <w:trHeight w:val="255" w:hRule="atLeast"/>
          <w:jc w:val="center"/>
        </w:trPr>
        <w:tc>
          <w:tcPr>
            <w:tcW w:w="11723" w:type="dxa"/>
            <w:gridSpan w:val="9"/>
            <w:tcBorders>
              <w:top w:val="nil"/>
              <w:left w:val="nil"/>
              <w:bottom w:val="nil"/>
              <w:right w:val="nil"/>
            </w:tcBorders>
            <w:vAlign w:val="bottom"/>
          </w:tcPr>
          <w:p>
            <w:pPr>
              <w:jc w:val="center"/>
              <w:rPr>
                <w:rFonts w:ascii="Arial" w:hAnsi="Arial" w:cs="Arial"/>
                <w:color w:val="000000"/>
                <w:kern w:val="0"/>
                <w:sz w:val="20"/>
              </w:rPr>
            </w:pPr>
            <w:r>
              <w:rPr>
                <w:rFonts w:hint="eastAsia" w:ascii="宋体" w:hAnsi="宋体" w:cs="Arial"/>
                <w:color w:val="000000"/>
                <w:kern w:val="0"/>
                <w:sz w:val="20"/>
              </w:rPr>
              <w:t>收入决算表</w:t>
            </w:r>
          </w:p>
        </w:tc>
      </w:tr>
      <w:tr>
        <w:tblPrEx>
          <w:tblLayout w:type="fixed"/>
          <w:tblCellMar>
            <w:top w:w="0" w:type="dxa"/>
            <w:left w:w="108" w:type="dxa"/>
            <w:bottom w:w="0" w:type="dxa"/>
            <w:right w:w="108" w:type="dxa"/>
          </w:tblCellMar>
        </w:tblPrEx>
        <w:trPr>
          <w:trHeight w:val="255" w:hRule="atLeast"/>
          <w:jc w:val="center"/>
        </w:trPr>
        <w:tc>
          <w:tcPr>
            <w:tcW w:w="11723" w:type="dxa"/>
            <w:gridSpan w:val="9"/>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02</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trHeight w:val="255" w:hRule="atLeast"/>
          <w:jc w:val="center"/>
        </w:trPr>
        <w:tc>
          <w:tcPr>
            <w:tcW w:w="4536" w:type="dxa"/>
            <w:gridSpan w:val="2"/>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1660" w:type="dxa"/>
            <w:tcBorders>
              <w:top w:val="nil"/>
              <w:left w:val="nil"/>
              <w:bottom w:val="nil"/>
              <w:right w:val="nil"/>
            </w:tcBorders>
            <w:vAlign w:val="bottom"/>
          </w:tcPr>
          <w:p>
            <w:pPr>
              <w:jc w:val="left"/>
              <w:rPr>
                <w:rFonts w:ascii="Arial" w:hAnsi="Arial" w:cs="Arial"/>
                <w:color w:val="000000"/>
                <w:kern w:val="0"/>
                <w:sz w:val="20"/>
              </w:rPr>
            </w:pPr>
          </w:p>
        </w:tc>
        <w:tc>
          <w:tcPr>
            <w:tcW w:w="1600" w:type="dxa"/>
            <w:tcBorders>
              <w:top w:val="nil"/>
              <w:left w:val="nil"/>
              <w:bottom w:val="nil"/>
              <w:right w:val="nil"/>
            </w:tcBorders>
            <w:vAlign w:val="bottom"/>
          </w:tcPr>
          <w:p>
            <w:pPr>
              <w:jc w:val="left"/>
              <w:rPr>
                <w:rFonts w:ascii="Arial" w:hAnsi="Arial" w:cs="Arial"/>
                <w:color w:val="000000"/>
                <w:kern w:val="0"/>
                <w:sz w:val="20"/>
              </w:rPr>
            </w:pPr>
          </w:p>
        </w:tc>
        <w:tc>
          <w:tcPr>
            <w:tcW w:w="820" w:type="dxa"/>
            <w:tcBorders>
              <w:top w:val="nil"/>
              <w:left w:val="nil"/>
              <w:bottom w:val="nil"/>
              <w:right w:val="nil"/>
            </w:tcBorders>
            <w:vAlign w:val="bottom"/>
          </w:tcPr>
          <w:p>
            <w:pPr>
              <w:jc w:val="left"/>
              <w:rPr>
                <w:rFonts w:ascii="Arial" w:hAnsi="Arial" w:cs="Arial"/>
                <w:color w:val="000000"/>
                <w:kern w:val="0"/>
                <w:sz w:val="20"/>
              </w:rPr>
            </w:pPr>
          </w:p>
        </w:tc>
        <w:tc>
          <w:tcPr>
            <w:tcW w:w="660" w:type="dxa"/>
            <w:tcBorders>
              <w:top w:val="nil"/>
              <w:left w:val="nil"/>
              <w:bottom w:val="nil"/>
              <w:right w:val="nil"/>
            </w:tcBorders>
            <w:vAlign w:val="bottom"/>
          </w:tcPr>
          <w:p>
            <w:pPr>
              <w:jc w:val="left"/>
              <w:rPr>
                <w:rFonts w:ascii="Arial" w:hAnsi="Arial" w:cs="Arial"/>
                <w:color w:val="000000"/>
                <w:kern w:val="0"/>
                <w:sz w:val="20"/>
              </w:rPr>
            </w:pPr>
          </w:p>
        </w:tc>
        <w:tc>
          <w:tcPr>
            <w:tcW w:w="660" w:type="dxa"/>
            <w:tcBorders>
              <w:top w:val="nil"/>
              <w:left w:val="nil"/>
              <w:bottom w:val="nil"/>
              <w:right w:val="nil"/>
            </w:tcBorders>
            <w:vAlign w:val="bottom"/>
          </w:tcPr>
          <w:p>
            <w:pPr>
              <w:jc w:val="left"/>
              <w:rPr>
                <w:rFonts w:ascii="Arial" w:hAnsi="Arial" w:cs="Arial"/>
                <w:color w:val="000000"/>
                <w:kern w:val="0"/>
                <w:sz w:val="20"/>
              </w:rPr>
            </w:pPr>
          </w:p>
        </w:tc>
        <w:tc>
          <w:tcPr>
            <w:tcW w:w="760" w:type="dxa"/>
            <w:tcBorders>
              <w:top w:val="nil"/>
              <w:left w:val="nil"/>
              <w:bottom w:val="nil"/>
              <w:right w:val="nil"/>
            </w:tcBorders>
            <w:vAlign w:val="bottom"/>
          </w:tcPr>
          <w:p>
            <w:pPr>
              <w:jc w:val="left"/>
              <w:rPr>
                <w:rFonts w:ascii="Arial" w:hAnsi="Arial" w:cs="Arial"/>
                <w:color w:val="000000"/>
                <w:kern w:val="0"/>
                <w:sz w:val="20"/>
              </w:rPr>
            </w:pPr>
          </w:p>
        </w:tc>
        <w:tc>
          <w:tcPr>
            <w:tcW w:w="1027" w:type="dxa"/>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trHeight w:val="308" w:hRule="atLeast"/>
          <w:jc w:val="center"/>
        </w:trPr>
        <w:tc>
          <w:tcPr>
            <w:tcW w:w="4536" w:type="dxa"/>
            <w:gridSpan w:val="2"/>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166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本年收入合计</w:t>
            </w:r>
          </w:p>
        </w:tc>
        <w:tc>
          <w:tcPr>
            <w:tcW w:w="160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财政拨款收入</w:t>
            </w:r>
          </w:p>
        </w:tc>
        <w:tc>
          <w:tcPr>
            <w:tcW w:w="82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上级补助收入</w:t>
            </w:r>
          </w:p>
        </w:tc>
        <w:tc>
          <w:tcPr>
            <w:tcW w:w="66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事业收入</w:t>
            </w:r>
          </w:p>
        </w:tc>
        <w:tc>
          <w:tcPr>
            <w:tcW w:w="66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经营收入</w:t>
            </w:r>
          </w:p>
        </w:tc>
        <w:tc>
          <w:tcPr>
            <w:tcW w:w="76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附属单位上缴收入</w:t>
            </w:r>
          </w:p>
        </w:tc>
        <w:tc>
          <w:tcPr>
            <w:tcW w:w="1027"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其他收入</w:t>
            </w:r>
          </w:p>
        </w:tc>
      </w:tr>
      <w:tr>
        <w:tblPrEx>
          <w:tblLayout w:type="fixed"/>
          <w:tblCellMar>
            <w:top w:w="0" w:type="dxa"/>
            <w:left w:w="108" w:type="dxa"/>
            <w:bottom w:w="0" w:type="dxa"/>
            <w:right w:w="108" w:type="dxa"/>
          </w:tblCellMar>
        </w:tblPrEx>
        <w:trPr>
          <w:trHeight w:val="312" w:hRule="atLeast"/>
          <w:jc w:val="center"/>
        </w:trPr>
        <w:tc>
          <w:tcPr>
            <w:tcW w:w="986" w:type="dxa"/>
            <w:vMerge w:val="restart"/>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功能分类科目编码</w:t>
            </w:r>
          </w:p>
        </w:tc>
        <w:tc>
          <w:tcPr>
            <w:tcW w:w="355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60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82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2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986"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355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60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82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2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986"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355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60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82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2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jc w:val="center"/>
        </w:trPr>
        <w:tc>
          <w:tcPr>
            <w:tcW w:w="4536"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16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160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82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6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c>
          <w:tcPr>
            <w:tcW w:w="6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w:t>
            </w:r>
          </w:p>
        </w:tc>
        <w:tc>
          <w:tcPr>
            <w:tcW w:w="7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6</w:t>
            </w:r>
          </w:p>
        </w:tc>
        <w:tc>
          <w:tcPr>
            <w:tcW w:w="1027"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7</w:t>
            </w:r>
          </w:p>
        </w:tc>
      </w:tr>
      <w:tr>
        <w:tblPrEx>
          <w:tblLayout w:type="fixed"/>
          <w:tblCellMar>
            <w:top w:w="0" w:type="dxa"/>
            <w:left w:w="108" w:type="dxa"/>
            <w:bottom w:w="0" w:type="dxa"/>
            <w:right w:w="108" w:type="dxa"/>
          </w:tblCellMar>
        </w:tblPrEx>
        <w:trPr>
          <w:trHeight w:val="308" w:hRule="atLeast"/>
          <w:jc w:val="center"/>
        </w:trPr>
        <w:tc>
          <w:tcPr>
            <w:tcW w:w="4536"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166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1,358,800.00</w:t>
            </w:r>
          </w:p>
        </w:tc>
        <w:tc>
          <w:tcPr>
            <w:tcW w:w="160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1,358,800.00</w:t>
            </w:r>
          </w:p>
        </w:tc>
        <w:tc>
          <w:tcPr>
            <w:tcW w:w="82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一般公共服务支出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群众团体事务</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2012901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行政运行</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2012902</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一般行政管理事务</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社会保障和就业支出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20805</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行政事业单位离退休</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2080505</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机关事业单位基本养老保险缴费支出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20820</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临时救助</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2082001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临时救助支出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20899</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其他社会保障和就业支出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2089901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其他社会保障和就业支出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医疗卫生与计划生育支出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行政事业单位医疗</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2101101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行政单位医疗</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20,700.00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20,700.00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2101199</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其他行政事业单位医疗支出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住房保障支出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22102</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住房改革支出</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2210201</w:t>
            </w:r>
          </w:p>
        </w:tc>
        <w:tc>
          <w:tcPr>
            <w:tcW w:w="35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住房公积金</w:t>
            </w:r>
          </w:p>
        </w:tc>
        <w:tc>
          <w:tcPr>
            <w:tcW w:w="1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6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6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1723" w:type="dxa"/>
            <w:gridSpan w:val="9"/>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注：本表反映部门本年度取得的各项收入情况。本表金额转换为万元时，因四舍五入可能存在尾差。</w:t>
            </w:r>
          </w:p>
        </w:tc>
      </w:tr>
    </w:tbl>
    <w:p>
      <w:pPr>
        <w:spacing w:beforeAutospacing="1" w:afterAutospacing="1"/>
        <w:jc w:val="left"/>
        <w:rPr>
          <w:rFonts w:ascii="仿宋" w:hAnsi="仿宋" w:eastAsia="仿宋" w:cs="仿宋"/>
        </w:rPr>
      </w:pPr>
    </w:p>
    <w:p>
      <w:pPr>
        <w:spacing w:beforeAutospacing="1" w:afterAutospacing="1"/>
        <w:ind w:left="640"/>
        <w:jc w:val="left"/>
        <w:rPr>
          <w:rFonts w:ascii="仿宋" w:hAnsi="仿宋" w:eastAsia="仿宋" w:cs="仿宋"/>
          <w:kern w:val="0"/>
          <w:sz w:val="32"/>
          <w:szCs w:val="32"/>
        </w:rPr>
      </w:pPr>
    </w:p>
    <w:p>
      <w:pPr>
        <w:spacing w:beforeAutospacing="1" w:afterAutospacing="1"/>
        <w:ind w:left="640"/>
        <w:jc w:val="left"/>
        <w:rPr>
          <w:rFonts w:ascii="仿宋" w:hAnsi="仿宋" w:eastAsia="仿宋" w:cs="仿宋"/>
          <w:kern w:val="0"/>
          <w:sz w:val="32"/>
          <w:szCs w:val="32"/>
        </w:rPr>
      </w:pPr>
    </w:p>
    <w:p>
      <w:pPr>
        <w:spacing w:beforeAutospacing="1" w:afterAutospacing="1"/>
        <w:ind w:left="640"/>
        <w:jc w:val="center"/>
        <w:rPr>
          <w:rFonts w:ascii="仿宋" w:hAnsi="仿宋" w:eastAsia="仿宋" w:cs="仿宋"/>
          <w:kern w:val="0"/>
          <w:sz w:val="32"/>
          <w:szCs w:val="32"/>
        </w:rPr>
      </w:pPr>
      <w:r>
        <w:rPr>
          <w:rFonts w:hint="eastAsia" w:ascii="仿宋" w:hAnsi="仿宋" w:eastAsia="仿宋" w:cs="仿宋"/>
          <w:kern w:val="0"/>
          <w:sz w:val="32"/>
          <w:szCs w:val="32"/>
        </w:rPr>
        <w:t>三、支出决算表</w:t>
      </w:r>
    </w:p>
    <w:tbl>
      <w:tblPr>
        <w:tblStyle w:val="7"/>
        <w:tblW w:w="11590" w:type="dxa"/>
        <w:jc w:val="center"/>
        <w:tblInd w:w="0" w:type="dxa"/>
        <w:tblLayout w:type="fixed"/>
        <w:tblCellMar>
          <w:top w:w="0" w:type="dxa"/>
          <w:left w:w="108" w:type="dxa"/>
          <w:bottom w:w="0" w:type="dxa"/>
          <w:right w:w="108" w:type="dxa"/>
        </w:tblCellMar>
      </w:tblPr>
      <w:tblGrid>
        <w:gridCol w:w="986"/>
        <w:gridCol w:w="3770"/>
        <w:gridCol w:w="1547"/>
        <w:gridCol w:w="1440"/>
        <w:gridCol w:w="1325"/>
        <w:gridCol w:w="760"/>
        <w:gridCol w:w="740"/>
        <w:gridCol w:w="1022"/>
      </w:tblGrid>
      <w:tr>
        <w:tblPrEx>
          <w:tblLayout w:type="fixed"/>
          <w:tblCellMar>
            <w:top w:w="0" w:type="dxa"/>
            <w:left w:w="108" w:type="dxa"/>
            <w:bottom w:w="0" w:type="dxa"/>
            <w:right w:w="108" w:type="dxa"/>
          </w:tblCellMar>
        </w:tblPrEx>
        <w:trPr>
          <w:trHeight w:val="390" w:hRule="atLeast"/>
          <w:jc w:val="center"/>
        </w:trPr>
        <w:tc>
          <w:tcPr>
            <w:tcW w:w="11590" w:type="dxa"/>
            <w:gridSpan w:val="8"/>
            <w:tcBorders>
              <w:top w:val="nil"/>
              <w:left w:val="nil"/>
              <w:bottom w:val="nil"/>
              <w:right w:val="nil"/>
            </w:tcBorders>
            <w:vAlign w:val="bottom"/>
          </w:tcPr>
          <w:p>
            <w:pPr>
              <w:jc w:val="center"/>
              <w:rPr>
                <w:rFonts w:ascii="Arial" w:hAnsi="Arial" w:cs="Arial"/>
                <w:color w:val="000000"/>
                <w:kern w:val="0"/>
                <w:sz w:val="20"/>
              </w:rPr>
            </w:pPr>
            <w:r>
              <w:rPr>
                <w:rFonts w:hint="eastAsia" w:ascii="宋体" w:hAnsi="宋体" w:cs="Arial"/>
                <w:color w:val="000000"/>
                <w:kern w:val="0"/>
                <w:sz w:val="30"/>
                <w:szCs w:val="30"/>
              </w:rPr>
              <w:t>支出决算表</w:t>
            </w:r>
          </w:p>
        </w:tc>
      </w:tr>
      <w:tr>
        <w:tblPrEx>
          <w:tblLayout w:type="fixed"/>
          <w:tblCellMar>
            <w:top w:w="0" w:type="dxa"/>
            <w:left w:w="108" w:type="dxa"/>
            <w:bottom w:w="0" w:type="dxa"/>
            <w:right w:w="108" w:type="dxa"/>
          </w:tblCellMar>
        </w:tblPrEx>
        <w:trPr>
          <w:trHeight w:val="255" w:hRule="atLeast"/>
          <w:jc w:val="center"/>
        </w:trPr>
        <w:tc>
          <w:tcPr>
            <w:tcW w:w="11590" w:type="dxa"/>
            <w:gridSpan w:val="8"/>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03</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trHeight w:val="255" w:hRule="atLeast"/>
          <w:jc w:val="center"/>
        </w:trPr>
        <w:tc>
          <w:tcPr>
            <w:tcW w:w="4756" w:type="dxa"/>
            <w:gridSpan w:val="2"/>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1547" w:type="dxa"/>
            <w:tcBorders>
              <w:top w:val="nil"/>
              <w:left w:val="nil"/>
              <w:bottom w:val="nil"/>
              <w:right w:val="nil"/>
            </w:tcBorders>
            <w:vAlign w:val="bottom"/>
          </w:tcPr>
          <w:p>
            <w:pPr>
              <w:jc w:val="left"/>
              <w:rPr>
                <w:rFonts w:ascii="Arial" w:hAnsi="Arial" w:cs="Arial"/>
                <w:color w:val="000000"/>
                <w:kern w:val="0"/>
                <w:sz w:val="20"/>
              </w:rPr>
            </w:pPr>
          </w:p>
        </w:tc>
        <w:tc>
          <w:tcPr>
            <w:tcW w:w="1440" w:type="dxa"/>
            <w:tcBorders>
              <w:top w:val="nil"/>
              <w:left w:val="nil"/>
              <w:bottom w:val="nil"/>
              <w:right w:val="nil"/>
            </w:tcBorders>
            <w:vAlign w:val="bottom"/>
          </w:tcPr>
          <w:p>
            <w:pPr>
              <w:jc w:val="left"/>
              <w:rPr>
                <w:rFonts w:ascii="Arial" w:hAnsi="Arial" w:cs="Arial"/>
                <w:color w:val="000000"/>
                <w:kern w:val="0"/>
                <w:sz w:val="20"/>
              </w:rPr>
            </w:pPr>
          </w:p>
        </w:tc>
        <w:tc>
          <w:tcPr>
            <w:tcW w:w="1325" w:type="dxa"/>
            <w:tcBorders>
              <w:top w:val="nil"/>
              <w:left w:val="nil"/>
              <w:bottom w:val="nil"/>
              <w:right w:val="nil"/>
            </w:tcBorders>
            <w:vAlign w:val="bottom"/>
          </w:tcPr>
          <w:p>
            <w:pPr>
              <w:jc w:val="left"/>
              <w:rPr>
                <w:rFonts w:ascii="Arial" w:hAnsi="Arial" w:cs="Arial"/>
                <w:color w:val="000000"/>
                <w:kern w:val="0"/>
                <w:sz w:val="20"/>
              </w:rPr>
            </w:pPr>
          </w:p>
        </w:tc>
        <w:tc>
          <w:tcPr>
            <w:tcW w:w="760" w:type="dxa"/>
            <w:tcBorders>
              <w:top w:val="nil"/>
              <w:left w:val="nil"/>
              <w:bottom w:val="nil"/>
              <w:right w:val="nil"/>
            </w:tcBorders>
            <w:vAlign w:val="bottom"/>
          </w:tcPr>
          <w:p>
            <w:pPr>
              <w:jc w:val="left"/>
              <w:rPr>
                <w:rFonts w:ascii="Arial" w:hAnsi="Arial" w:cs="Arial"/>
                <w:color w:val="000000"/>
                <w:kern w:val="0"/>
                <w:sz w:val="20"/>
              </w:rPr>
            </w:pPr>
          </w:p>
        </w:tc>
        <w:tc>
          <w:tcPr>
            <w:tcW w:w="740" w:type="dxa"/>
            <w:tcBorders>
              <w:top w:val="nil"/>
              <w:left w:val="nil"/>
              <w:bottom w:val="nil"/>
              <w:right w:val="nil"/>
            </w:tcBorders>
            <w:vAlign w:val="bottom"/>
          </w:tcPr>
          <w:p>
            <w:pPr>
              <w:jc w:val="left"/>
              <w:rPr>
                <w:rFonts w:ascii="Arial" w:hAnsi="Arial" w:cs="Arial"/>
                <w:color w:val="000000"/>
                <w:kern w:val="0"/>
                <w:sz w:val="20"/>
              </w:rPr>
            </w:pPr>
          </w:p>
        </w:tc>
        <w:tc>
          <w:tcPr>
            <w:tcW w:w="1022" w:type="dxa"/>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trHeight w:val="308" w:hRule="atLeast"/>
          <w:jc w:val="center"/>
        </w:trPr>
        <w:tc>
          <w:tcPr>
            <w:tcW w:w="4756" w:type="dxa"/>
            <w:gridSpan w:val="2"/>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1547"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本年支出合计</w:t>
            </w:r>
          </w:p>
        </w:tc>
        <w:tc>
          <w:tcPr>
            <w:tcW w:w="144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基本支出</w:t>
            </w:r>
          </w:p>
        </w:tc>
        <w:tc>
          <w:tcPr>
            <w:tcW w:w="1325"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项目支出</w:t>
            </w:r>
          </w:p>
        </w:tc>
        <w:tc>
          <w:tcPr>
            <w:tcW w:w="76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上缴上级支出</w:t>
            </w:r>
          </w:p>
        </w:tc>
        <w:tc>
          <w:tcPr>
            <w:tcW w:w="740"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经营支出</w:t>
            </w:r>
          </w:p>
        </w:tc>
        <w:tc>
          <w:tcPr>
            <w:tcW w:w="1022"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对附属单位补助支出</w:t>
            </w:r>
          </w:p>
        </w:tc>
      </w:tr>
      <w:tr>
        <w:tblPrEx>
          <w:tblLayout w:type="fixed"/>
          <w:tblCellMar>
            <w:top w:w="0" w:type="dxa"/>
            <w:left w:w="108" w:type="dxa"/>
            <w:bottom w:w="0" w:type="dxa"/>
            <w:right w:w="108" w:type="dxa"/>
          </w:tblCellMar>
        </w:tblPrEx>
        <w:trPr>
          <w:trHeight w:val="312" w:hRule="atLeast"/>
          <w:jc w:val="center"/>
        </w:trPr>
        <w:tc>
          <w:tcPr>
            <w:tcW w:w="986" w:type="dxa"/>
            <w:vMerge w:val="restart"/>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功能分类科目编码</w:t>
            </w:r>
          </w:p>
        </w:tc>
        <w:tc>
          <w:tcPr>
            <w:tcW w:w="377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54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44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325"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4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22"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986"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377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54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44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325"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4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22"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986"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377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54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44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325"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6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40"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22"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jc w:val="center"/>
        </w:trPr>
        <w:tc>
          <w:tcPr>
            <w:tcW w:w="4756"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1547"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14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1325"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7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c>
          <w:tcPr>
            <w:tcW w:w="7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w:t>
            </w:r>
          </w:p>
        </w:tc>
        <w:tc>
          <w:tcPr>
            <w:tcW w:w="1022"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6</w:t>
            </w:r>
          </w:p>
        </w:tc>
      </w:tr>
      <w:tr>
        <w:tblPrEx>
          <w:tblLayout w:type="fixed"/>
          <w:tblCellMar>
            <w:top w:w="0" w:type="dxa"/>
            <w:left w:w="108" w:type="dxa"/>
            <w:bottom w:w="0" w:type="dxa"/>
            <w:right w:w="108" w:type="dxa"/>
          </w:tblCellMar>
        </w:tblPrEx>
        <w:trPr>
          <w:trHeight w:val="308" w:hRule="atLeast"/>
          <w:jc w:val="center"/>
        </w:trPr>
        <w:tc>
          <w:tcPr>
            <w:tcW w:w="4756"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1547"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1,358,800.00</w:t>
            </w:r>
          </w:p>
        </w:tc>
        <w:tc>
          <w:tcPr>
            <w:tcW w:w="144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998,800.00</w:t>
            </w:r>
          </w:p>
        </w:tc>
        <w:tc>
          <w:tcPr>
            <w:tcW w:w="1325"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360,000.00</w:t>
            </w:r>
          </w:p>
        </w:tc>
        <w:tc>
          <w:tcPr>
            <w:tcW w:w="76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一般公共服务支出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群众团体事务</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2012901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行政运行</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2012902</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一般行政管理事务</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社会保障和就业支出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47,800.00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20805</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行政事业单位离退休</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2080505</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机关事业单位基本养老保险缴费支出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20820</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临时救助</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2082001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临时救助支出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20899</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其他社会保障和就业支出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2089901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其他社会保障和就业支出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医疗卫生与计划生育支出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行政事业单位医疗</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2101101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行政单位医疗</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20,700.00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20,700.00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2101199</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其他行政事业单位医疗支出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住房保障支出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22102</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住房改革支出</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986"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2210201</w:t>
            </w:r>
          </w:p>
        </w:tc>
        <w:tc>
          <w:tcPr>
            <w:tcW w:w="377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住房公积金</w:t>
            </w:r>
          </w:p>
        </w:tc>
        <w:tc>
          <w:tcPr>
            <w:tcW w:w="154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32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02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1590" w:type="dxa"/>
            <w:gridSpan w:val="8"/>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注：本表反映部门本年度各项支出情况。本表金额转换为万元时，因四舍五入可能存在尾差。</w:t>
            </w:r>
          </w:p>
        </w:tc>
      </w:tr>
    </w:tbl>
    <w:p>
      <w:pPr>
        <w:spacing w:beforeAutospacing="1" w:afterAutospacing="1"/>
        <w:ind w:left="640"/>
        <w:jc w:val="left"/>
        <w:rPr>
          <w:rFonts w:ascii="仿宋" w:hAnsi="仿宋" w:eastAsia="仿宋" w:cs="仿宋"/>
        </w:rPr>
      </w:pPr>
    </w:p>
    <w:p>
      <w:pPr>
        <w:spacing w:beforeAutospacing="1" w:afterAutospacing="1"/>
        <w:ind w:left="640"/>
        <w:jc w:val="left"/>
        <w:rPr>
          <w:rFonts w:ascii="仿宋" w:hAnsi="仿宋" w:eastAsia="仿宋" w:cs="仿宋"/>
        </w:rPr>
      </w:pPr>
    </w:p>
    <w:p>
      <w:pPr>
        <w:spacing w:beforeAutospacing="1" w:afterAutospacing="1"/>
        <w:ind w:left="640"/>
        <w:jc w:val="left"/>
        <w:rPr>
          <w:rFonts w:ascii="仿宋" w:hAnsi="仿宋" w:eastAsia="仿宋" w:cs="仿宋"/>
        </w:rPr>
      </w:pPr>
    </w:p>
    <w:p>
      <w:pPr>
        <w:spacing w:beforeAutospacing="1" w:afterAutospacing="1"/>
        <w:ind w:left="640"/>
        <w:jc w:val="center"/>
        <w:rPr>
          <w:rFonts w:ascii="仿宋" w:hAnsi="仿宋" w:eastAsia="仿宋" w:cs="仿宋"/>
          <w:kern w:val="0"/>
          <w:sz w:val="32"/>
          <w:szCs w:val="32"/>
        </w:rPr>
      </w:pPr>
      <w:r>
        <w:rPr>
          <w:rFonts w:hint="eastAsia" w:ascii="仿宋" w:hAnsi="仿宋" w:eastAsia="仿宋" w:cs="仿宋"/>
          <w:kern w:val="0"/>
          <w:sz w:val="32"/>
          <w:szCs w:val="32"/>
        </w:rPr>
        <w:t>四、财政拨款收入支出决算总表</w:t>
      </w:r>
    </w:p>
    <w:tbl>
      <w:tblPr>
        <w:tblStyle w:val="7"/>
        <w:tblW w:w="11700" w:type="dxa"/>
        <w:tblInd w:w="-1332" w:type="dxa"/>
        <w:tblLayout w:type="fixed"/>
        <w:tblCellMar>
          <w:top w:w="0" w:type="dxa"/>
          <w:left w:w="108" w:type="dxa"/>
          <w:bottom w:w="0" w:type="dxa"/>
          <w:right w:w="108" w:type="dxa"/>
        </w:tblCellMar>
      </w:tblPr>
      <w:tblGrid>
        <w:gridCol w:w="2520"/>
        <w:gridCol w:w="540"/>
        <w:gridCol w:w="1536"/>
        <w:gridCol w:w="2395"/>
        <w:gridCol w:w="229"/>
        <w:gridCol w:w="207"/>
        <w:gridCol w:w="409"/>
        <w:gridCol w:w="1536"/>
        <w:gridCol w:w="1536"/>
        <w:gridCol w:w="792"/>
      </w:tblGrid>
      <w:tr>
        <w:tblPrEx>
          <w:tblLayout w:type="fixed"/>
          <w:tblCellMar>
            <w:top w:w="0" w:type="dxa"/>
            <w:left w:w="108" w:type="dxa"/>
            <w:bottom w:w="0" w:type="dxa"/>
            <w:right w:w="108" w:type="dxa"/>
          </w:tblCellMar>
        </w:tblPrEx>
        <w:trPr>
          <w:trHeight w:val="390" w:hRule="atLeast"/>
        </w:trPr>
        <w:tc>
          <w:tcPr>
            <w:tcW w:w="11700" w:type="dxa"/>
            <w:gridSpan w:val="10"/>
            <w:tcBorders>
              <w:top w:val="single" w:color="auto" w:sz="4" w:space="0"/>
              <w:left w:val="single" w:color="auto" w:sz="4" w:space="0"/>
              <w:bottom w:val="nil"/>
              <w:right w:val="single" w:color="auto" w:sz="4" w:space="0"/>
            </w:tcBorders>
            <w:vAlign w:val="bottom"/>
          </w:tcPr>
          <w:p>
            <w:pPr>
              <w:jc w:val="center"/>
              <w:rPr>
                <w:rFonts w:ascii="宋体" w:cs="Arial"/>
                <w:color w:val="000000"/>
                <w:kern w:val="0"/>
                <w:sz w:val="30"/>
                <w:szCs w:val="30"/>
              </w:rPr>
            </w:pPr>
            <w:r>
              <w:rPr>
                <w:rFonts w:hint="eastAsia" w:ascii="宋体" w:hAnsi="宋体" w:cs="Arial"/>
                <w:color w:val="000000"/>
                <w:kern w:val="0"/>
                <w:sz w:val="30"/>
                <w:szCs w:val="30"/>
              </w:rPr>
              <w:t>财政拨款收入支出决算总表</w:t>
            </w:r>
          </w:p>
        </w:tc>
      </w:tr>
      <w:tr>
        <w:tblPrEx>
          <w:tblLayout w:type="fixed"/>
          <w:tblCellMar>
            <w:top w:w="0" w:type="dxa"/>
            <w:left w:w="108" w:type="dxa"/>
            <w:bottom w:w="0" w:type="dxa"/>
            <w:right w:w="108" w:type="dxa"/>
          </w:tblCellMar>
        </w:tblPrEx>
        <w:trPr>
          <w:trHeight w:val="255" w:hRule="atLeast"/>
        </w:trPr>
        <w:tc>
          <w:tcPr>
            <w:tcW w:w="11700" w:type="dxa"/>
            <w:gridSpan w:val="10"/>
            <w:tcBorders>
              <w:top w:val="nil"/>
              <w:left w:val="single" w:color="auto" w:sz="4" w:space="0"/>
              <w:bottom w:val="nil"/>
              <w:right w:val="single" w:color="auto" w:sz="4" w:space="0"/>
            </w:tcBorders>
            <w:vAlign w:val="bottom"/>
          </w:tcPr>
          <w:p>
            <w:pPr>
              <w:ind w:right="700"/>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04</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trHeight w:val="255" w:hRule="atLeast"/>
        </w:trPr>
        <w:tc>
          <w:tcPr>
            <w:tcW w:w="4596" w:type="dxa"/>
            <w:gridSpan w:val="3"/>
            <w:tcBorders>
              <w:top w:val="nil"/>
              <w:left w:val="single" w:color="auto" w:sz="4" w:space="0"/>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2395" w:type="dxa"/>
            <w:tcBorders>
              <w:top w:val="nil"/>
              <w:left w:val="nil"/>
              <w:bottom w:val="nil"/>
              <w:right w:val="nil"/>
            </w:tcBorders>
            <w:vAlign w:val="bottom"/>
          </w:tcPr>
          <w:p>
            <w:pPr>
              <w:jc w:val="left"/>
              <w:rPr>
                <w:rFonts w:ascii="Arial" w:hAnsi="Arial" w:cs="Arial"/>
                <w:color w:val="000000"/>
                <w:kern w:val="0"/>
                <w:sz w:val="20"/>
              </w:rPr>
            </w:pPr>
          </w:p>
        </w:tc>
        <w:tc>
          <w:tcPr>
            <w:tcW w:w="436" w:type="dxa"/>
            <w:gridSpan w:val="2"/>
            <w:tcBorders>
              <w:top w:val="nil"/>
              <w:left w:val="nil"/>
              <w:bottom w:val="nil"/>
              <w:right w:val="nil"/>
            </w:tcBorders>
            <w:vAlign w:val="bottom"/>
          </w:tcPr>
          <w:p>
            <w:pPr>
              <w:jc w:val="left"/>
              <w:rPr>
                <w:rFonts w:ascii="Arial" w:hAnsi="Arial" w:cs="Arial"/>
                <w:color w:val="000000"/>
                <w:kern w:val="0"/>
                <w:sz w:val="20"/>
              </w:rPr>
            </w:pPr>
          </w:p>
        </w:tc>
        <w:tc>
          <w:tcPr>
            <w:tcW w:w="1945" w:type="dxa"/>
            <w:gridSpan w:val="2"/>
            <w:tcBorders>
              <w:top w:val="nil"/>
              <w:left w:val="nil"/>
              <w:bottom w:val="nil"/>
              <w:right w:val="nil"/>
            </w:tcBorders>
            <w:vAlign w:val="bottom"/>
          </w:tcPr>
          <w:p>
            <w:pPr>
              <w:jc w:val="left"/>
              <w:rPr>
                <w:rFonts w:ascii="Arial" w:hAnsi="Arial" w:cs="Arial"/>
                <w:color w:val="000000"/>
                <w:kern w:val="0"/>
                <w:sz w:val="20"/>
              </w:rPr>
            </w:pPr>
          </w:p>
        </w:tc>
        <w:tc>
          <w:tcPr>
            <w:tcW w:w="1536" w:type="dxa"/>
            <w:tcBorders>
              <w:top w:val="nil"/>
              <w:left w:val="nil"/>
              <w:bottom w:val="nil"/>
              <w:right w:val="nil"/>
            </w:tcBorders>
            <w:vAlign w:val="bottom"/>
          </w:tcPr>
          <w:p>
            <w:pPr>
              <w:jc w:val="left"/>
              <w:rPr>
                <w:rFonts w:ascii="Arial" w:hAnsi="Arial" w:cs="Arial"/>
                <w:color w:val="000000"/>
                <w:kern w:val="0"/>
                <w:sz w:val="20"/>
              </w:rPr>
            </w:pPr>
          </w:p>
        </w:tc>
        <w:tc>
          <w:tcPr>
            <w:tcW w:w="792" w:type="dxa"/>
            <w:tcBorders>
              <w:top w:val="nil"/>
              <w:left w:val="nil"/>
              <w:bottom w:val="nil"/>
              <w:right w:val="single" w:color="auto" w:sz="4" w:space="0"/>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trHeight w:val="308" w:hRule="atLeast"/>
        </w:trPr>
        <w:tc>
          <w:tcPr>
            <w:tcW w:w="4596" w:type="dxa"/>
            <w:gridSpan w:val="3"/>
            <w:tcBorders>
              <w:top w:val="single" w:color="000000" w:sz="4" w:space="0"/>
              <w:left w:val="single" w:color="auto"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收</w:t>
            </w:r>
            <w:r>
              <w:rPr>
                <w:rFonts w:ascii="宋体" w:hAnsi="宋体" w:cs="Arial"/>
                <w:color w:val="000000"/>
                <w:kern w:val="0"/>
                <w:sz w:val="22"/>
                <w:szCs w:val="22"/>
              </w:rPr>
              <w:t xml:space="preserve">     </w:t>
            </w:r>
            <w:r>
              <w:rPr>
                <w:rFonts w:hint="eastAsia" w:ascii="宋体" w:hAnsi="宋体" w:cs="Arial"/>
                <w:color w:val="000000"/>
                <w:kern w:val="0"/>
                <w:sz w:val="22"/>
                <w:szCs w:val="22"/>
              </w:rPr>
              <w:t>入</w:t>
            </w:r>
          </w:p>
        </w:tc>
        <w:tc>
          <w:tcPr>
            <w:tcW w:w="7104" w:type="dxa"/>
            <w:gridSpan w:val="7"/>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支</w:t>
            </w:r>
            <w:r>
              <w:rPr>
                <w:rFonts w:ascii="宋体" w:hAnsi="宋体" w:cs="Arial"/>
                <w:color w:val="000000"/>
                <w:kern w:val="0"/>
                <w:sz w:val="22"/>
                <w:szCs w:val="22"/>
              </w:rPr>
              <w:t xml:space="preserve">     </w:t>
            </w:r>
            <w:r>
              <w:rPr>
                <w:rFonts w:hint="eastAsia" w:ascii="宋体" w:hAnsi="宋体" w:cs="Arial"/>
                <w:color w:val="000000"/>
                <w:kern w:val="0"/>
                <w:sz w:val="22"/>
                <w:szCs w:val="22"/>
              </w:rPr>
              <w:t>出</w:t>
            </w:r>
          </w:p>
        </w:tc>
      </w:tr>
      <w:tr>
        <w:tblPrEx>
          <w:tblLayout w:type="fixed"/>
          <w:tblCellMar>
            <w:top w:w="0" w:type="dxa"/>
            <w:left w:w="108" w:type="dxa"/>
            <w:bottom w:w="0" w:type="dxa"/>
            <w:right w:w="108" w:type="dxa"/>
          </w:tblCellMar>
        </w:tblPrEx>
        <w:trPr>
          <w:trHeight w:val="312" w:hRule="atLeast"/>
        </w:trPr>
        <w:tc>
          <w:tcPr>
            <w:tcW w:w="2520" w:type="dxa"/>
            <w:vMerge w:val="restart"/>
            <w:tcBorders>
              <w:top w:val="nil"/>
              <w:left w:val="single" w:color="auto"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54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行次</w:t>
            </w:r>
          </w:p>
        </w:tc>
        <w:tc>
          <w:tcPr>
            <w:tcW w:w="1536"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金额</w:t>
            </w:r>
          </w:p>
        </w:tc>
        <w:tc>
          <w:tcPr>
            <w:tcW w:w="2624" w:type="dxa"/>
            <w:gridSpan w:val="2"/>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616" w:type="dxa"/>
            <w:gridSpan w:val="2"/>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行次</w:t>
            </w:r>
          </w:p>
        </w:tc>
        <w:tc>
          <w:tcPr>
            <w:tcW w:w="1536"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1536"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一般公共预算财政拨款</w:t>
            </w:r>
          </w:p>
        </w:tc>
        <w:tc>
          <w:tcPr>
            <w:tcW w:w="792" w:type="dxa"/>
            <w:vMerge w:val="restart"/>
            <w:tcBorders>
              <w:top w:val="nil"/>
              <w:left w:val="nil"/>
              <w:bottom w:val="single" w:color="000000" w:sz="4" w:space="0"/>
              <w:right w:val="single" w:color="auto"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政府性基金预算财政拨款</w:t>
            </w:r>
          </w:p>
        </w:tc>
      </w:tr>
      <w:tr>
        <w:tblPrEx>
          <w:tblLayout w:type="fixed"/>
          <w:tblCellMar>
            <w:top w:w="0" w:type="dxa"/>
            <w:left w:w="108" w:type="dxa"/>
            <w:bottom w:w="0" w:type="dxa"/>
            <w:right w:w="108" w:type="dxa"/>
          </w:tblCellMar>
        </w:tblPrEx>
        <w:trPr>
          <w:trHeight w:val="615" w:hRule="atLeast"/>
        </w:trPr>
        <w:tc>
          <w:tcPr>
            <w:tcW w:w="2520" w:type="dxa"/>
            <w:vMerge w:val="continue"/>
            <w:tcBorders>
              <w:top w:val="nil"/>
              <w:left w:val="single" w:color="auto"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54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536"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2624" w:type="dxa"/>
            <w:gridSpan w:val="2"/>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16" w:type="dxa"/>
            <w:gridSpan w:val="2"/>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536"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536"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792" w:type="dxa"/>
            <w:vMerge w:val="continue"/>
            <w:tcBorders>
              <w:top w:val="nil"/>
              <w:left w:val="nil"/>
              <w:bottom w:val="single" w:color="000000" w:sz="4" w:space="0"/>
              <w:right w:val="single" w:color="auto"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　</w:t>
            </w:r>
          </w:p>
        </w:tc>
        <w:tc>
          <w:tcPr>
            <w:tcW w:w="1536"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2624"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　</w:t>
            </w:r>
          </w:p>
        </w:tc>
        <w:tc>
          <w:tcPr>
            <w:tcW w:w="1536"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1536"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792" w:type="dxa"/>
            <w:tcBorders>
              <w:top w:val="nil"/>
              <w:left w:val="nil"/>
              <w:bottom w:val="single" w:color="000000" w:sz="4" w:space="0"/>
              <w:right w:val="single" w:color="auto"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一、一般公共预算财政拨款</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一、一般公共服务支出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28</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二、政府性基金预算财政拨款</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二、外交支出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29</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三、国防支出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四、公共安全支出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31</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五、教育支出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32</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6</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六、科学技术支出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33</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7</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七、文化体育与传媒支出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34</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8</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八、社会保障和就业支出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35</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9</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九、医疗卫生与计划生育支出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36</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十、节能环保支出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37</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11</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十一、城乡社区支出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38</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12</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十二、农林水支出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39</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13</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十三、交通运输支出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14</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十四、资源勘探信息等支出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41</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15</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十五、商业服务业等支出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42</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16</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十六、金融支出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43</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17</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十七、援助其他地区支出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44</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18</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十八、国土海洋气象等支出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45</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19</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十九、住房保障支出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46</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二十、粮油物资储备支出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47</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21</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二十一、其他支出</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48</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center"/>
              <w:rPr>
                <w:rFonts w:ascii="宋体" w:cs="Arial"/>
                <w:b/>
                <w:bCs/>
                <w:color w:val="000000"/>
                <w:kern w:val="0"/>
                <w:sz w:val="22"/>
                <w:szCs w:val="22"/>
              </w:rPr>
            </w:pPr>
            <w:r>
              <w:rPr>
                <w:rFonts w:hint="eastAsia" w:ascii="宋体" w:hAnsi="宋体" w:cs="Arial"/>
                <w:b/>
                <w:bCs/>
                <w:color w:val="000000"/>
                <w:kern w:val="0"/>
                <w:sz w:val="22"/>
                <w:szCs w:val="22"/>
              </w:rPr>
              <w:t>本年收入合计</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22</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2624"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b/>
                <w:bCs/>
                <w:color w:val="000000"/>
                <w:kern w:val="0"/>
                <w:sz w:val="22"/>
                <w:szCs w:val="22"/>
              </w:rPr>
            </w:pPr>
            <w:r>
              <w:rPr>
                <w:rFonts w:hint="eastAsia" w:ascii="宋体" w:hAnsi="宋体" w:cs="Arial"/>
                <w:b/>
                <w:bCs/>
                <w:color w:val="000000"/>
                <w:kern w:val="0"/>
                <w:sz w:val="22"/>
                <w:szCs w:val="22"/>
              </w:rPr>
              <w:t>本年支出合计</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49</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年初财政拨款结转和结余</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23</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年末财政拨款结转和结余</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一般公共预算财政拨款</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24</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51</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政府性基金预算财政拨款</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25</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52</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5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26</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624" w:type="dxa"/>
            <w:gridSpan w:val="2"/>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61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53</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53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792" w:type="dxa"/>
            <w:tcBorders>
              <w:top w:val="nil"/>
              <w:left w:val="nil"/>
              <w:bottom w:val="single" w:color="000000" w:sz="4" w:space="0"/>
              <w:right w:val="single" w:color="auto"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2520" w:type="dxa"/>
            <w:tcBorders>
              <w:top w:val="nil"/>
              <w:left w:val="single" w:color="auto" w:sz="4" w:space="0"/>
              <w:bottom w:val="single" w:color="auto" w:sz="4" w:space="0"/>
              <w:right w:val="single" w:color="000000" w:sz="4" w:space="0"/>
            </w:tcBorders>
            <w:shd w:val="clear" w:color="FFFFFF" w:fill="C0C0C0"/>
            <w:vAlign w:val="center"/>
          </w:tcPr>
          <w:p>
            <w:pPr>
              <w:jc w:val="center"/>
              <w:rPr>
                <w:rFonts w:ascii="宋体" w:cs="Arial"/>
                <w:b/>
                <w:bCs/>
                <w:color w:val="000000"/>
                <w:kern w:val="0"/>
                <w:sz w:val="22"/>
                <w:szCs w:val="22"/>
              </w:rPr>
            </w:pPr>
            <w:r>
              <w:rPr>
                <w:rFonts w:hint="eastAsia" w:ascii="宋体" w:hAnsi="宋体" w:cs="Arial"/>
                <w:b/>
                <w:bCs/>
                <w:color w:val="000000"/>
                <w:kern w:val="0"/>
                <w:sz w:val="22"/>
                <w:szCs w:val="22"/>
              </w:rPr>
              <w:t>总计</w:t>
            </w:r>
          </w:p>
        </w:tc>
        <w:tc>
          <w:tcPr>
            <w:tcW w:w="540" w:type="dxa"/>
            <w:tcBorders>
              <w:top w:val="nil"/>
              <w:left w:val="nil"/>
              <w:bottom w:val="single" w:color="auto"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27</w:t>
            </w:r>
          </w:p>
        </w:tc>
        <w:tc>
          <w:tcPr>
            <w:tcW w:w="1536" w:type="dxa"/>
            <w:tcBorders>
              <w:top w:val="nil"/>
              <w:left w:val="nil"/>
              <w:bottom w:val="single" w:color="auto"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2624" w:type="dxa"/>
            <w:gridSpan w:val="2"/>
            <w:tcBorders>
              <w:top w:val="nil"/>
              <w:left w:val="nil"/>
              <w:bottom w:val="single" w:color="auto" w:sz="4" w:space="0"/>
              <w:right w:val="single" w:color="000000" w:sz="4" w:space="0"/>
            </w:tcBorders>
            <w:shd w:val="clear" w:color="FFFFFF" w:fill="C0C0C0"/>
            <w:vAlign w:val="center"/>
          </w:tcPr>
          <w:p>
            <w:pPr>
              <w:jc w:val="center"/>
              <w:rPr>
                <w:rFonts w:ascii="宋体" w:cs="Arial"/>
                <w:b/>
                <w:bCs/>
                <w:color w:val="000000"/>
                <w:kern w:val="0"/>
                <w:sz w:val="22"/>
                <w:szCs w:val="22"/>
              </w:rPr>
            </w:pPr>
            <w:r>
              <w:rPr>
                <w:rFonts w:hint="eastAsia" w:ascii="宋体" w:hAnsi="宋体" w:cs="Arial"/>
                <w:b/>
                <w:bCs/>
                <w:color w:val="000000"/>
                <w:kern w:val="0"/>
                <w:sz w:val="22"/>
                <w:szCs w:val="22"/>
              </w:rPr>
              <w:t>总计</w:t>
            </w:r>
          </w:p>
        </w:tc>
        <w:tc>
          <w:tcPr>
            <w:tcW w:w="616" w:type="dxa"/>
            <w:gridSpan w:val="2"/>
            <w:tcBorders>
              <w:top w:val="nil"/>
              <w:left w:val="nil"/>
              <w:bottom w:val="single" w:color="auto"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54</w:t>
            </w:r>
          </w:p>
        </w:tc>
        <w:tc>
          <w:tcPr>
            <w:tcW w:w="1536" w:type="dxa"/>
            <w:tcBorders>
              <w:top w:val="nil"/>
              <w:left w:val="nil"/>
              <w:bottom w:val="single" w:color="auto"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1536" w:type="dxa"/>
            <w:tcBorders>
              <w:top w:val="nil"/>
              <w:left w:val="nil"/>
              <w:bottom w:val="single" w:color="auto"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1,358,800.00</w:t>
            </w:r>
          </w:p>
        </w:tc>
        <w:tc>
          <w:tcPr>
            <w:tcW w:w="792" w:type="dxa"/>
            <w:tcBorders>
              <w:top w:val="nil"/>
              <w:left w:val="nil"/>
              <w:bottom w:val="single" w:color="auto" w:sz="4" w:space="0"/>
              <w:right w:val="single" w:color="auto"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664" w:hRule="atLeast"/>
        </w:trPr>
        <w:tc>
          <w:tcPr>
            <w:tcW w:w="11700" w:type="dxa"/>
            <w:gridSpan w:val="10"/>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注：本表反映部门本年度一般公共预算财政拨款和政府性基金预算财政拨款的总收支和年末结转结余情况。本表金额转换为万元时，因四舍五入可能存在尾差。</w:t>
            </w:r>
          </w:p>
        </w:tc>
      </w:tr>
    </w:tbl>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ind w:left="640"/>
        <w:jc w:val="center"/>
        <w:rPr>
          <w:rFonts w:ascii="仿宋" w:hAnsi="仿宋" w:eastAsia="仿宋" w:cs="仿宋"/>
          <w:kern w:val="0"/>
          <w:sz w:val="32"/>
          <w:szCs w:val="32"/>
        </w:rPr>
      </w:pPr>
      <w:r>
        <w:rPr>
          <w:rFonts w:hint="eastAsia" w:ascii="仿宋" w:hAnsi="仿宋" w:eastAsia="仿宋" w:cs="仿宋"/>
          <w:kern w:val="0"/>
          <w:sz w:val="32"/>
          <w:szCs w:val="32"/>
        </w:rPr>
        <w:t>五、一般公共预算财政拨款支出决算表</w:t>
      </w:r>
    </w:p>
    <w:tbl>
      <w:tblPr>
        <w:tblStyle w:val="7"/>
        <w:tblW w:w="11836" w:type="dxa"/>
        <w:jc w:val="center"/>
        <w:tblInd w:w="0" w:type="dxa"/>
        <w:tblLayout w:type="fixed"/>
        <w:tblCellMar>
          <w:top w:w="0" w:type="dxa"/>
          <w:left w:w="108" w:type="dxa"/>
          <w:bottom w:w="0" w:type="dxa"/>
          <w:right w:w="108" w:type="dxa"/>
        </w:tblCellMar>
      </w:tblPr>
      <w:tblGrid>
        <w:gridCol w:w="1624"/>
        <w:gridCol w:w="4217"/>
        <w:gridCol w:w="1820"/>
        <w:gridCol w:w="1841"/>
        <w:gridCol w:w="2334"/>
      </w:tblGrid>
      <w:tr>
        <w:tblPrEx>
          <w:tblLayout w:type="fixed"/>
          <w:tblCellMar>
            <w:top w:w="0" w:type="dxa"/>
            <w:left w:w="108" w:type="dxa"/>
            <w:bottom w:w="0" w:type="dxa"/>
            <w:right w:w="108" w:type="dxa"/>
          </w:tblCellMar>
        </w:tblPrEx>
        <w:trPr>
          <w:trHeight w:val="390" w:hRule="atLeast"/>
          <w:jc w:val="center"/>
        </w:trPr>
        <w:tc>
          <w:tcPr>
            <w:tcW w:w="11836" w:type="dxa"/>
            <w:gridSpan w:val="5"/>
            <w:tcBorders>
              <w:top w:val="nil"/>
              <w:left w:val="nil"/>
              <w:bottom w:val="nil"/>
              <w:right w:val="nil"/>
            </w:tcBorders>
            <w:vAlign w:val="bottom"/>
          </w:tcPr>
          <w:p>
            <w:pPr>
              <w:jc w:val="center"/>
              <w:rPr>
                <w:rFonts w:ascii="Arial" w:hAnsi="Arial" w:cs="Arial"/>
                <w:color w:val="000000"/>
                <w:kern w:val="0"/>
                <w:sz w:val="20"/>
              </w:rPr>
            </w:pPr>
            <w:r>
              <w:rPr>
                <w:rFonts w:hint="eastAsia" w:ascii="宋体" w:hAnsi="宋体" w:cs="Arial"/>
                <w:color w:val="000000"/>
                <w:kern w:val="0"/>
                <w:sz w:val="30"/>
                <w:szCs w:val="30"/>
              </w:rPr>
              <w:t>一般公共预算财政拨款支出决算表</w:t>
            </w:r>
          </w:p>
        </w:tc>
      </w:tr>
      <w:tr>
        <w:tblPrEx>
          <w:tblLayout w:type="fixed"/>
          <w:tblCellMar>
            <w:top w:w="0" w:type="dxa"/>
            <w:left w:w="108" w:type="dxa"/>
            <w:bottom w:w="0" w:type="dxa"/>
            <w:right w:w="108" w:type="dxa"/>
          </w:tblCellMar>
        </w:tblPrEx>
        <w:trPr>
          <w:trHeight w:val="255" w:hRule="atLeast"/>
          <w:jc w:val="center"/>
        </w:trPr>
        <w:tc>
          <w:tcPr>
            <w:tcW w:w="11836" w:type="dxa"/>
            <w:gridSpan w:val="5"/>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05</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trHeight w:val="255" w:hRule="atLeast"/>
          <w:jc w:val="center"/>
        </w:trPr>
        <w:tc>
          <w:tcPr>
            <w:tcW w:w="5841" w:type="dxa"/>
            <w:gridSpan w:val="2"/>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1820" w:type="dxa"/>
            <w:tcBorders>
              <w:top w:val="nil"/>
              <w:left w:val="nil"/>
              <w:bottom w:val="nil"/>
              <w:right w:val="nil"/>
            </w:tcBorders>
            <w:vAlign w:val="bottom"/>
          </w:tcPr>
          <w:p>
            <w:pPr>
              <w:jc w:val="left"/>
              <w:rPr>
                <w:rFonts w:ascii="Arial" w:hAnsi="Arial" w:cs="Arial"/>
                <w:color w:val="000000"/>
                <w:kern w:val="0"/>
                <w:sz w:val="20"/>
              </w:rPr>
            </w:pPr>
          </w:p>
        </w:tc>
        <w:tc>
          <w:tcPr>
            <w:tcW w:w="1841" w:type="dxa"/>
            <w:tcBorders>
              <w:top w:val="nil"/>
              <w:left w:val="nil"/>
              <w:bottom w:val="nil"/>
              <w:right w:val="nil"/>
            </w:tcBorders>
            <w:vAlign w:val="bottom"/>
          </w:tcPr>
          <w:p>
            <w:pPr>
              <w:jc w:val="left"/>
              <w:rPr>
                <w:rFonts w:ascii="Arial" w:hAnsi="Arial" w:cs="Arial"/>
                <w:color w:val="000000"/>
                <w:kern w:val="0"/>
                <w:sz w:val="20"/>
              </w:rPr>
            </w:pPr>
          </w:p>
        </w:tc>
        <w:tc>
          <w:tcPr>
            <w:tcW w:w="2334" w:type="dxa"/>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trHeight w:val="308" w:hRule="atLeast"/>
          <w:jc w:val="center"/>
        </w:trPr>
        <w:tc>
          <w:tcPr>
            <w:tcW w:w="5841" w:type="dxa"/>
            <w:gridSpan w:val="2"/>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5995" w:type="dxa"/>
            <w:gridSpan w:val="3"/>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本年支出</w:t>
            </w:r>
          </w:p>
        </w:tc>
      </w:tr>
      <w:tr>
        <w:tblPrEx>
          <w:tblLayout w:type="fixed"/>
          <w:tblCellMar>
            <w:top w:w="0" w:type="dxa"/>
            <w:left w:w="108" w:type="dxa"/>
            <w:bottom w:w="0" w:type="dxa"/>
            <w:right w:w="108" w:type="dxa"/>
          </w:tblCellMar>
        </w:tblPrEx>
        <w:trPr>
          <w:trHeight w:val="312" w:hRule="atLeast"/>
          <w:jc w:val="center"/>
        </w:trPr>
        <w:tc>
          <w:tcPr>
            <w:tcW w:w="1624" w:type="dxa"/>
            <w:vMerge w:val="restart"/>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功能分类科目编码</w:t>
            </w:r>
          </w:p>
        </w:tc>
        <w:tc>
          <w:tcPr>
            <w:tcW w:w="4217"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82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小计</w:t>
            </w:r>
          </w:p>
        </w:tc>
        <w:tc>
          <w:tcPr>
            <w:tcW w:w="1841"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基本支出</w:t>
            </w:r>
          </w:p>
        </w:tc>
        <w:tc>
          <w:tcPr>
            <w:tcW w:w="2334"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项目支出</w:t>
            </w:r>
          </w:p>
        </w:tc>
      </w:tr>
      <w:tr>
        <w:tblPrEx>
          <w:tblLayout w:type="fixed"/>
          <w:tblCellMar>
            <w:top w:w="0" w:type="dxa"/>
            <w:left w:w="108" w:type="dxa"/>
            <w:bottom w:w="0" w:type="dxa"/>
            <w:right w:w="108" w:type="dxa"/>
          </w:tblCellMar>
        </w:tblPrEx>
        <w:trPr>
          <w:trHeight w:val="312" w:hRule="atLeast"/>
          <w:jc w:val="center"/>
        </w:trPr>
        <w:tc>
          <w:tcPr>
            <w:tcW w:w="1624"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4217"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82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841"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2334"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1624"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4217"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82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841"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2334"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jc w:val="center"/>
        </w:trPr>
        <w:tc>
          <w:tcPr>
            <w:tcW w:w="5841"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182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1841"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2334"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r>
      <w:tr>
        <w:tblPrEx>
          <w:tblLayout w:type="fixed"/>
          <w:tblCellMar>
            <w:top w:w="0" w:type="dxa"/>
            <w:left w:w="108" w:type="dxa"/>
            <w:bottom w:w="0" w:type="dxa"/>
            <w:right w:w="108" w:type="dxa"/>
          </w:tblCellMar>
        </w:tblPrEx>
        <w:trPr>
          <w:trHeight w:val="308" w:hRule="atLeast"/>
          <w:jc w:val="center"/>
        </w:trPr>
        <w:tc>
          <w:tcPr>
            <w:tcW w:w="5841"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1820"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1,358,800.00</w:t>
            </w:r>
          </w:p>
        </w:tc>
        <w:tc>
          <w:tcPr>
            <w:tcW w:w="1841"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998,800.00</w:t>
            </w:r>
          </w:p>
        </w:tc>
        <w:tc>
          <w:tcPr>
            <w:tcW w:w="2334"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ascii="宋体" w:hAnsi="宋体" w:cs="Arial"/>
                <w:b/>
                <w:bCs/>
                <w:color w:val="000000"/>
                <w:kern w:val="0"/>
                <w:sz w:val="22"/>
                <w:szCs w:val="22"/>
              </w:rPr>
              <w:t>360,000.00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一般公共服务支出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群众团体事务</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956,900.00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2012901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行政运行</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906,900.00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2012902</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一般行政管理事务</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社会保障和就业支出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357,800.00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47,800.00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20805</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行政事业单位离退休</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2080505</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机关事业单位基本养老保险缴费支出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45,600.00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20820</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临时救助</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2082001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临时救助支出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310,000.00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20899</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其他社会保障和就业支出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2089901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其他社会保障和就业支出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医疗卫生与计划生育支出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行政事业单位医疗</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21,300.00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2101101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行政单位医疗</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20,700.00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20,700.00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2101199</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其他行政事业单位医疗支出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住房保障支出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22102</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住房改革支出</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624"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2210201</w:t>
            </w:r>
          </w:p>
        </w:tc>
        <w:tc>
          <w:tcPr>
            <w:tcW w:w="4217"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住房公积金</w:t>
            </w:r>
          </w:p>
        </w:tc>
        <w:tc>
          <w:tcPr>
            <w:tcW w:w="18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184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2334"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jc w:val="center"/>
        </w:trPr>
        <w:tc>
          <w:tcPr>
            <w:tcW w:w="11836" w:type="dxa"/>
            <w:gridSpan w:val="5"/>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注：本表反映部门本年度一般公共预算财政拨款支出情况。本表金额转换为万元时，因四舍五入可能存在尾差。</w:t>
            </w:r>
          </w:p>
        </w:tc>
      </w:tr>
    </w:tbl>
    <w:p>
      <w:pPr>
        <w:spacing w:beforeAutospacing="1" w:afterAutospacing="1"/>
        <w:ind w:left="640"/>
        <w:jc w:val="left"/>
        <w:rPr>
          <w:rFonts w:ascii="仿宋" w:hAnsi="仿宋" w:eastAsia="仿宋" w:cs="仿宋"/>
        </w:rPr>
      </w:pPr>
    </w:p>
    <w:p>
      <w:pPr>
        <w:spacing w:beforeAutospacing="1" w:afterAutospacing="1"/>
        <w:ind w:left="640"/>
        <w:jc w:val="left"/>
        <w:rPr>
          <w:rFonts w:ascii="仿宋" w:hAnsi="仿宋" w:eastAsia="仿宋" w:cs="仿宋"/>
        </w:rPr>
      </w:pPr>
    </w:p>
    <w:p>
      <w:pPr>
        <w:spacing w:beforeAutospacing="1" w:afterAutospacing="1"/>
        <w:ind w:left="640"/>
        <w:jc w:val="left"/>
        <w:rPr>
          <w:rFonts w:ascii="仿宋" w:hAnsi="仿宋" w:eastAsia="仿宋" w:cs="仿宋"/>
        </w:rPr>
      </w:pPr>
    </w:p>
    <w:p>
      <w:pPr>
        <w:spacing w:beforeAutospacing="1" w:afterAutospacing="1"/>
        <w:ind w:left="640"/>
        <w:jc w:val="left"/>
        <w:rPr>
          <w:rFonts w:ascii="仿宋" w:hAnsi="仿宋" w:eastAsia="仿宋" w:cs="仿宋"/>
        </w:rPr>
      </w:pPr>
    </w:p>
    <w:p>
      <w:pPr>
        <w:spacing w:beforeAutospacing="1" w:afterAutospacing="1"/>
        <w:ind w:left="640"/>
        <w:jc w:val="center"/>
        <w:rPr>
          <w:rFonts w:ascii="仿宋" w:hAnsi="仿宋" w:eastAsia="仿宋" w:cs="仿宋"/>
          <w:kern w:val="0"/>
          <w:sz w:val="32"/>
          <w:szCs w:val="32"/>
        </w:rPr>
      </w:pPr>
      <w:r>
        <w:rPr>
          <w:rFonts w:hint="eastAsia" w:ascii="仿宋" w:hAnsi="仿宋" w:eastAsia="仿宋" w:cs="仿宋"/>
          <w:kern w:val="0"/>
          <w:sz w:val="32"/>
          <w:szCs w:val="32"/>
        </w:rPr>
        <w:t>六、一般公共预算财政拨款基本支出决算表</w:t>
      </w:r>
    </w:p>
    <w:tbl>
      <w:tblPr>
        <w:tblStyle w:val="7"/>
        <w:tblW w:w="11880" w:type="dxa"/>
        <w:tblInd w:w="-1512" w:type="dxa"/>
        <w:tblLayout w:type="fixed"/>
        <w:tblCellMar>
          <w:top w:w="0" w:type="dxa"/>
          <w:left w:w="108" w:type="dxa"/>
          <w:bottom w:w="0" w:type="dxa"/>
          <w:right w:w="108" w:type="dxa"/>
        </w:tblCellMar>
      </w:tblPr>
      <w:tblGrid>
        <w:gridCol w:w="900"/>
        <w:gridCol w:w="1440"/>
        <w:gridCol w:w="1440"/>
        <w:gridCol w:w="900"/>
        <w:gridCol w:w="1620"/>
        <w:gridCol w:w="1260"/>
        <w:gridCol w:w="900"/>
        <w:gridCol w:w="1980"/>
        <w:gridCol w:w="360"/>
        <w:gridCol w:w="1080"/>
      </w:tblGrid>
      <w:tr>
        <w:tblPrEx>
          <w:tblLayout w:type="fixed"/>
          <w:tblCellMar>
            <w:top w:w="0" w:type="dxa"/>
            <w:left w:w="108" w:type="dxa"/>
            <w:bottom w:w="0" w:type="dxa"/>
            <w:right w:w="108" w:type="dxa"/>
          </w:tblCellMar>
        </w:tblPrEx>
        <w:trPr>
          <w:trHeight w:val="390" w:hRule="atLeast"/>
        </w:trPr>
        <w:tc>
          <w:tcPr>
            <w:tcW w:w="11880" w:type="dxa"/>
            <w:gridSpan w:val="10"/>
            <w:tcBorders>
              <w:top w:val="nil"/>
              <w:left w:val="nil"/>
              <w:bottom w:val="nil"/>
              <w:right w:val="nil"/>
            </w:tcBorders>
            <w:vAlign w:val="bottom"/>
          </w:tcPr>
          <w:p>
            <w:pPr>
              <w:jc w:val="center"/>
              <w:rPr>
                <w:rFonts w:ascii="Arial" w:hAnsi="Arial" w:cs="Arial"/>
                <w:color w:val="000000"/>
                <w:kern w:val="0"/>
                <w:sz w:val="20"/>
              </w:rPr>
            </w:pPr>
            <w:r>
              <w:rPr>
                <w:rFonts w:hint="eastAsia" w:ascii="宋体" w:hAnsi="宋体" w:cs="Arial"/>
                <w:color w:val="000000"/>
                <w:kern w:val="0"/>
                <w:sz w:val="30"/>
                <w:szCs w:val="30"/>
              </w:rPr>
              <w:t>一般公共预算财政拨款基本支出决算表</w:t>
            </w:r>
          </w:p>
        </w:tc>
      </w:tr>
      <w:tr>
        <w:tblPrEx>
          <w:tblLayout w:type="fixed"/>
          <w:tblCellMar>
            <w:top w:w="0" w:type="dxa"/>
            <w:left w:w="108" w:type="dxa"/>
            <w:bottom w:w="0" w:type="dxa"/>
            <w:right w:w="108" w:type="dxa"/>
          </w:tblCellMar>
        </w:tblPrEx>
        <w:trPr>
          <w:trHeight w:val="300" w:hRule="atLeast"/>
        </w:trPr>
        <w:tc>
          <w:tcPr>
            <w:tcW w:w="11880" w:type="dxa"/>
            <w:gridSpan w:val="10"/>
            <w:tcBorders>
              <w:top w:val="nil"/>
              <w:left w:val="nil"/>
              <w:bottom w:val="nil"/>
              <w:right w:val="nil"/>
            </w:tcBorders>
            <w:vAlign w:val="bottom"/>
          </w:tcPr>
          <w:p>
            <w:pPr>
              <w:jc w:val="right"/>
              <w:rPr>
                <w:rFonts w:ascii="宋体" w:cs="Arial"/>
                <w:color w:val="000000"/>
                <w:kern w:val="0"/>
                <w:sz w:val="24"/>
                <w:szCs w:val="24"/>
              </w:rPr>
            </w:pPr>
            <w:r>
              <w:rPr>
                <w:rFonts w:hint="eastAsia" w:ascii="宋体" w:hAnsi="宋体" w:cs="Arial"/>
                <w:color w:val="000000"/>
                <w:kern w:val="0"/>
                <w:sz w:val="24"/>
                <w:szCs w:val="24"/>
              </w:rPr>
              <w:t>公开</w:t>
            </w:r>
            <w:r>
              <w:rPr>
                <w:rFonts w:ascii="宋体" w:hAnsi="宋体" w:cs="Arial"/>
                <w:color w:val="000000"/>
                <w:kern w:val="0"/>
                <w:sz w:val="24"/>
                <w:szCs w:val="24"/>
              </w:rPr>
              <w:t>06</w:t>
            </w:r>
            <w:r>
              <w:rPr>
                <w:rFonts w:hint="eastAsia" w:ascii="宋体" w:hAnsi="宋体" w:cs="Arial"/>
                <w:color w:val="000000"/>
                <w:kern w:val="0"/>
                <w:sz w:val="24"/>
                <w:szCs w:val="24"/>
              </w:rPr>
              <w:t>表</w:t>
            </w:r>
          </w:p>
        </w:tc>
      </w:tr>
      <w:tr>
        <w:tblPrEx>
          <w:tblLayout w:type="fixed"/>
          <w:tblCellMar>
            <w:top w:w="0" w:type="dxa"/>
            <w:left w:w="108" w:type="dxa"/>
            <w:bottom w:w="0" w:type="dxa"/>
            <w:right w:w="108" w:type="dxa"/>
          </w:tblCellMar>
        </w:tblPrEx>
        <w:trPr>
          <w:trHeight w:val="483" w:hRule="atLeast"/>
        </w:trPr>
        <w:tc>
          <w:tcPr>
            <w:tcW w:w="3780" w:type="dxa"/>
            <w:gridSpan w:val="3"/>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900" w:type="dxa"/>
            <w:tcBorders>
              <w:top w:val="nil"/>
              <w:left w:val="nil"/>
              <w:bottom w:val="nil"/>
              <w:right w:val="nil"/>
            </w:tcBorders>
            <w:vAlign w:val="bottom"/>
          </w:tcPr>
          <w:p>
            <w:pPr>
              <w:jc w:val="left"/>
              <w:rPr>
                <w:rFonts w:ascii="Arial" w:hAnsi="Arial" w:cs="Arial"/>
                <w:color w:val="000000"/>
                <w:kern w:val="0"/>
                <w:sz w:val="20"/>
              </w:rPr>
            </w:pPr>
          </w:p>
        </w:tc>
        <w:tc>
          <w:tcPr>
            <w:tcW w:w="1620" w:type="dxa"/>
            <w:tcBorders>
              <w:top w:val="nil"/>
              <w:left w:val="nil"/>
              <w:bottom w:val="nil"/>
              <w:right w:val="nil"/>
            </w:tcBorders>
            <w:vAlign w:val="bottom"/>
          </w:tcPr>
          <w:p>
            <w:pPr>
              <w:jc w:val="left"/>
              <w:rPr>
                <w:rFonts w:ascii="Arial" w:hAnsi="Arial" w:cs="Arial"/>
                <w:color w:val="000000"/>
                <w:kern w:val="0"/>
                <w:sz w:val="20"/>
              </w:rPr>
            </w:pPr>
          </w:p>
        </w:tc>
        <w:tc>
          <w:tcPr>
            <w:tcW w:w="1260" w:type="dxa"/>
            <w:tcBorders>
              <w:top w:val="nil"/>
              <w:left w:val="nil"/>
              <w:bottom w:val="nil"/>
              <w:right w:val="nil"/>
            </w:tcBorders>
            <w:vAlign w:val="bottom"/>
          </w:tcPr>
          <w:p>
            <w:pPr>
              <w:jc w:val="left"/>
              <w:rPr>
                <w:rFonts w:ascii="Arial" w:hAnsi="Arial" w:cs="Arial"/>
                <w:color w:val="000000"/>
                <w:kern w:val="0"/>
                <w:sz w:val="20"/>
              </w:rPr>
            </w:pPr>
          </w:p>
        </w:tc>
        <w:tc>
          <w:tcPr>
            <w:tcW w:w="900" w:type="dxa"/>
            <w:tcBorders>
              <w:top w:val="nil"/>
              <w:left w:val="nil"/>
              <w:bottom w:val="nil"/>
              <w:right w:val="nil"/>
            </w:tcBorders>
            <w:vAlign w:val="bottom"/>
          </w:tcPr>
          <w:p>
            <w:pPr>
              <w:jc w:val="left"/>
              <w:rPr>
                <w:rFonts w:ascii="Arial" w:hAnsi="Arial" w:cs="Arial"/>
                <w:color w:val="000000"/>
                <w:kern w:val="0"/>
                <w:sz w:val="20"/>
              </w:rPr>
            </w:pPr>
          </w:p>
        </w:tc>
        <w:tc>
          <w:tcPr>
            <w:tcW w:w="2340" w:type="dxa"/>
            <w:gridSpan w:val="2"/>
            <w:tcBorders>
              <w:top w:val="nil"/>
              <w:left w:val="nil"/>
              <w:bottom w:val="nil"/>
              <w:right w:val="nil"/>
            </w:tcBorders>
            <w:vAlign w:val="bottom"/>
          </w:tcPr>
          <w:p>
            <w:pPr>
              <w:jc w:val="left"/>
              <w:rPr>
                <w:rFonts w:ascii="Arial" w:hAnsi="Arial" w:cs="Arial"/>
                <w:color w:val="000000"/>
                <w:kern w:val="0"/>
                <w:sz w:val="20"/>
              </w:rPr>
            </w:pPr>
          </w:p>
        </w:tc>
        <w:tc>
          <w:tcPr>
            <w:tcW w:w="1080" w:type="dxa"/>
            <w:tcBorders>
              <w:top w:val="nil"/>
              <w:left w:val="nil"/>
              <w:bottom w:val="nil"/>
              <w:right w:val="nil"/>
            </w:tcBorders>
            <w:vAlign w:val="bottom"/>
          </w:tcPr>
          <w:p>
            <w:pPr>
              <w:jc w:val="right"/>
              <w:rPr>
                <w:rFonts w:ascii="宋体" w:cs="Arial"/>
                <w:color w:val="000000"/>
                <w:kern w:val="0"/>
                <w:sz w:val="18"/>
                <w:szCs w:val="18"/>
              </w:rPr>
            </w:pPr>
            <w:r>
              <w:rPr>
                <w:rFonts w:hint="eastAsia" w:ascii="宋体" w:hAnsi="宋体" w:cs="Arial"/>
                <w:color w:val="000000"/>
                <w:kern w:val="0"/>
                <w:sz w:val="18"/>
                <w:szCs w:val="18"/>
              </w:rPr>
              <w:t>金额单位：元</w:t>
            </w:r>
          </w:p>
        </w:tc>
      </w:tr>
      <w:tr>
        <w:tblPrEx>
          <w:tblLayout w:type="fixed"/>
          <w:tblCellMar>
            <w:top w:w="0" w:type="dxa"/>
            <w:left w:w="108" w:type="dxa"/>
            <w:bottom w:w="0" w:type="dxa"/>
            <w:right w:w="108" w:type="dxa"/>
          </w:tblCellMar>
        </w:tblPrEx>
        <w:trPr>
          <w:trHeight w:val="308" w:hRule="atLeast"/>
        </w:trPr>
        <w:tc>
          <w:tcPr>
            <w:tcW w:w="3780"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人员经费</w:t>
            </w:r>
          </w:p>
        </w:tc>
        <w:tc>
          <w:tcPr>
            <w:tcW w:w="8100" w:type="dxa"/>
            <w:gridSpan w:val="7"/>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公用经费</w:t>
            </w:r>
          </w:p>
        </w:tc>
      </w:tr>
      <w:tr>
        <w:tblPrEx>
          <w:tblLayout w:type="fixed"/>
          <w:tblCellMar>
            <w:top w:w="0" w:type="dxa"/>
            <w:left w:w="108" w:type="dxa"/>
            <w:bottom w:w="0" w:type="dxa"/>
            <w:right w:w="108" w:type="dxa"/>
          </w:tblCellMar>
        </w:tblPrEx>
        <w:trPr>
          <w:trHeight w:val="312" w:hRule="atLeast"/>
        </w:trPr>
        <w:tc>
          <w:tcPr>
            <w:tcW w:w="900" w:type="dxa"/>
            <w:vMerge w:val="restart"/>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科目编码</w:t>
            </w:r>
          </w:p>
        </w:tc>
        <w:tc>
          <w:tcPr>
            <w:tcW w:w="144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44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决算数</w:t>
            </w:r>
          </w:p>
        </w:tc>
        <w:tc>
          <w:tcPr>
            <w:tcW w:w="90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科目编码</w:t>
            </w:r>
          </w:p>
        </w:tc>
        <w:tc>
          <w:tcPr>
            <w:tcW w:w="162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26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决算数</w:t>
            </w:r>
          </w:p>
        </w:tc>
        <w:tc>
          <w:tcPr>
            <w:tcW w:w="90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科目编码</w:t>
            </w:r>
          </w:p>
        </w:tc>
        <w:tc>
          <w:tcPr>
            <w:tcW w:w="198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440" w:type="dxa"/>
            <w:gridSpan w:val="2"/>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决算数</w:t>
            </w:r>
          </w:p>
        </w:tc>
      </w:tr>
      <w:tr>
        <w:tblPrEx>
          <w:tblLayout w:type="fixed"/>
          <w:tblCellMar>
            <w:top w:w="0" w:type="dxa"/>
            <w:left w:w="108" w:type="dxa"/>
            <w:bottom w:w="0" w:type="dxa"/>
            <w:right w:w="108" w:type="dxa"/>
          </w:tblCellMar>
        </w:tblPrEx>
        <w:trPr>
          <w:trHeight w:val="312" w:hRule="atLeast"/>
        </w:trPr>
        <w:tc>
          <w:tcPr>
            <w:tcW w:w="900"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144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44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90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62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26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90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98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440" w:type="dxa"/>
            <w:gridSpan w:val="2"/>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工资福利支出</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382,400.00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商品和服务支出</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578,000.00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307</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债务利息及费用支出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30101</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基本工资</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271,500.00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30201</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办公费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540,500.00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30701</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国内债务付息</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30102</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津贴补贴</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30202</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印刷费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25,000.00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30702</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国外债务付息</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30103</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奖金</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19,000.00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30203</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咨询费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资本性支出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30106</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伙食补助费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30204</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手续费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31001</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房屋建筑物购建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30107</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绩效工资</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30205</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水费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31002</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办公设备购置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30108</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机关事业单位基本养老保险缴费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66,900.00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30206</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电费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31003</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专用设备购置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30109</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职业年金缴费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30207</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邮电费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31005</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基础设施建设</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30110</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职工基本医疗保险缴费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30208</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取暖费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31006</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大型修缮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30111</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公务员医疗补助缴费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30209</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物业管理费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31007</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信息网络及软件购置更新</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30112</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其他社会保障缴费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30211</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差旅费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2,000.00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31008</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物资储备</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30113</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住房公积金</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22,800.00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30212</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因公出国（境）费用</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31009</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土地补偿</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30114</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医疗费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30213</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维修（护）费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31010</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安置补助</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30199</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其他工资福利支出</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30214</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租赁费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31011</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地上附着物和青苗补偿</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对个人和家庭的补助</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38,400.00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30215</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会议费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31012</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拆迁补偿</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30301</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离休费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30216</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培训费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31013</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公务用车购置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30302</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退休费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30217</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公务接待费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31019</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其他交通工具购置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30303</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退职（役）费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30218</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专用材料费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31021</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文物和陈列品购置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30304</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抚恤金</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30224</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被装购置费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31022</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无形资产购置</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30305</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生活补助</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38,400.00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30225</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专用燃料费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31099</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其他资本性支出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30306</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救济费</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30226</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劳务费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399</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其他支出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30307</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医疗费补助</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30227</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委托业务费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39906</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赠与</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30308</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助学金</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30228</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工会经费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2,800.00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39907</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国家赔偿费用支出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30309</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奖励金</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30229</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福利费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5,700.00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39908</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对民间非营利组织和群众性自治组织补贴</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30310</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个人农业生产补贴</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30231</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公务用车运行维护费</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39999</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其他支出</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30399</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其他对个人和家庭的补助支出</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30239</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其他交通费用</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30240</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税金及附加费用</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900" w:type="dxa"/>
            <w:tcBorders>
              <w:top w:val="nil"/>
              <w:left w:val="single" w:color="000000" w:sz="4" w:space="0"/>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30299</w:t>
            </w:r>
          </w:p>
        </w:tc>
        <w:tc>
          <w:tcPr>
            <w:tcW w:w="162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ascii="宋体" w:hAnsi="宋体" w:cs="Arial"/>
                <w:color w:val="000000"/>
                <w:kern w:val="0"/>
                <w:sz w:val="22"/>
                <w:szCs w:val="22"/>
              </w:rPr>
              <w:t xml:space="preserve">  </w:t>
            </w:r>
            <w:r>
              <w:rPr>
                <w:rFonts w:hint="eastAsia" w:ascii="宋体" w:hAnsi="宋体" w:cs="Arial"/>
                <w:color w:val="000000"/>
                <w:kern w:val="0"/>
                <w:sz w:val="22"/>
                <w:szCs w:val="22"/>
              </w:rPr>
              <w:t>其他商品和服务支出</w:t>
            </w:r>
          </w:p>
        </w:tc>
        <w:tc>
          <w:tcPr>
            <w:tcW w:w="12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0.00</w:t>
            </w:r>
          </w:p>
        </w:tc>
        <w:tc>
          <w:tcPr>
            <w:tcW w:w="90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980" w:type="dxa"/>
            <w:tcBorders>
              <w:top w:val="nil"/>
              <w:left w:val="nil"/>
              <w:bottom w:val="single" w:color="000000" w:sz="4" w:space="0"/>
              <w:right w:val="single" w:color="000000" w:sz="4" w:space="0"/>
            </w:tcBorders>
            <w:shd w:val="clear" w:color="FFFFFF" w:fill="C0C0C0"/>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2340"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人员经费合计</w:t>
            </w:r>
          </w:p>
        </w:tc>
        <w:tc>
          <w:tcPr>
            <w:tcW w:w="14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420,800.00</w:t>
            </w:r>
          </w:p>
        </w:tc>
        <w:tc>
          <w:tcPr>
            <w:tcW w:w="6660" w:type="dxa"/>
            <w:gridSpan w:val="5"/>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公用经费合计</w:t>
            </w:r>
          </w:p>
        </w:tc>
        <w:tc>
          <w:tcPr>
            <w:tcW w:w="1440" w:type="dxa"/>
            <w:gridSpan w:val="2"/>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ascii="宋体" w:hAnsi="宋体" w:cs="Arial"/>
                <w:color w:val="000000"/>
                <w:kern w:val="0"/>
                <w:sz w:val="22"/>
                <w:szCs w:val="22"/>
              </w:rPr>
              <w:t>578,000.00</w:t>
            </w:r>
          </w:p>
        </w:tc>
      </w:tr>
      <w:tr>
        <w:tblPrEx>
          <w:tblLayout w:type="fixed"/>
          <w:tblCellMar>
            <w:top w:w="0" w:type="dxa"/>
            <w:left w:w="108" w:type="dxa"/>
            <w:bottom w:w="0" w:type="dxa"/>
            <w:right w:w="108" w:type="dxa"/>
          </w:tblCellMar>
        </w:tblPrEx>
        <w:trPr>
          <w:trHeight w:val="308" w:hRule="atLeast"/>
        </w:trPr>
        <w:tc>
          <w:tcPr>
            <w:tcW w:w="11880" w:type="dxa"/>
            <w:gridSpan w:val="10"/>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注：本表反映部门本年度一般公共预算财政拨款基本支出明细情况。本表金额转换为万元时，因四舍五入可能存在尾差。</w:t>
            </w:r>
          </w:p>
        </w:tc>
      </w:tr>
    </w:tbl>
    <w:p>
      <w:pPr>
        <w:spacing w:beforeAutospacing="1" w:afterAutospacing="1"/>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jc w:val="left"/>
        <w:rPr>
          <w:rFonts w:ascii="仿宋" w:hAnsi="仿宋" w:eastAsia="仿宋" w:cs="仿宋"/>
        </w:rPr>
      </w:pPr>
    </w:p>
    <w:p>
      <w:pPr>
        <w:spacing w:beforeAutospacing="1" w:afterAutospacing="1"/>
        <w:ind w:left="640"/>
        <w:jc w:val="center"/>
        <w:rPr>
          <w:rFonts w:ascii="仿宋" w:hAnsi="仿宋" w:eastAsia="仿宋" w:cs="仿宋"/>
          <w:kern w:val="0"/>
          <w:sz w:val="32"/>
          <w:szCs w:val="32"/>
        </w:rPr>
      </w:pPr>
      <w:r>
        <w:rPr>
          <w:rFonts w:hint="eastAsia" w:ascii="仿宋" w:hAnsi="仿宋" w:eastAsia="仿宋" w:cs="仿宋"/>
          <w:kern w:val="0"/>
          <w:sz w:val="32"/>
          <w:szCs w:val="32"/>
        </w:rPr>
        <w:t>七、一般公共预算财政拨款“三公”经费支出决算表</w:t>
      </w:r>
    </w:p>
    <w:tbl>
      <w:tblPr>
        <w:tblStyle w:val="7"/>
        <w:tblW w:w="11667" w:type="dxa"/>
        <w:jc w:val="center"/>
        <w:tblInd w:w="0" w:type="dxa"/>
        <w:tblLayout w:type="fixed"/>
        <w:tblCellMar>
          <w:top w:w="0" w:type="dxa"/>
          <w:left w:w="108" w:type="dxa"/>
          <w:bottom w:w="0" w:type="dxa"/>
          <w:right w:w="108" w:type="dxa"/>
        </w:tblCellMar>
      </w:tblPr>
      <w:tblGrid>
        <w:gridCol w:w="1245"/>
        <w:gridCol w:w="1029"/>
        <w:gridCol w:w="800"/>
        <w:gridCol w:w="1220"/>
        <w:gridCol w:w="880"/>
        <w:gridCol w:w="1096"/>
        <w:gridCol w:w="640"/>
        <w:gridCol w:w="876"/>
        <w:gridCol w:w="580"/>
        <w:gridCol w:w="860"/>
        <w:gridCol w:w="880"/>
        <w:gridCol w:w="1561"/>
      </w:tblGrid>
      <w:tr>
        <w:tblPrEx>
          <w:tblLayout w:type="fixed"/>
          <w:tblCellMar>
            <w:top w:w="0" w:type="dxa"/>
            <w:left w:w="108" w:type="dxa"/>
            <w:bottom w:w="0" w:type="dxa"/>
            <w:right w:w="108" w:type="dxa"/>
          </w:tblCellMar>
        </w:tblPrEx>
        <w:trPr>
          <w:trHeight w:val="540" w:hRule="atLeast"/>
          <w:jc w:val="center"/>
        </w:trPr>
        <w:tc>
          <w:tcPr>
            <w:tcW w:w="11667" w:type="dxa"/>
            <w:gridSpan w:val="12"/>
            <w:tcBorders>
              <w:top w:val="nil"/>
              <w:left w:val="nil"/>
              <w:bottom w:val="nil"/>
              <w:right w:val="nil"/>
            </w:tcBorders>
            <w:vAlign w:val="bottom"/>
          </w:tcPr>
          <w:p>
            <w:pPr>
              <w:jc w:val="center"/>
              <w:rPr>
                <w:rFonts w:ascii="Arial" w:hAnsi="Arial" w:cs="Arial"/>
                <w:color w:val="000000"/>
                <w:kern w:val="0"/>
                <w:sz w:val="28"/>
                <w:szCs w:val="28"/>
              </w:rPr>
            </w:pPr>
            <w:r>
              <w:rPr>
                <w:rFonts w:hint="eastAsia" w:ascii="宋体" w:hAnsi="宋体" w:cs="Arial"/>
                <w:color w:val="000000"/>
                <w:kern w:val="0"/>
                <w:sz w:val="28"/>
                <w:szCs w:val="28"/>
              </w:rPr>
              <w:t>一般公共预算财政拨款“三公”经费支出决算表</w:t>
            </w:r>
          </w:p>
        </w:tc>
      </w:tr>
      <w:tr>
        <w:tblPrEx>
          <w:tblLayout w:type="fixed"/>
          <w:tblCellMar>
            <w:top w:w="0" w:type="dxa"/>
            <w:left w:w="108" w:type="dxa"/>
            <w:bottom w:w="0" w:type="dxa"/>
            <w:right w:w="108" w:type="dxa"/>
          </w:tblCellMar>
        </w:tblPrEx>
        <w:trPr>
          <w:trHeight w:val="255" w:hRule="atLeast"/>
          <w:jc w:val="center"/>
        </w:trPr>
        <w:tc>
          <w:tcPr>
            <w:tcW w:w="11667" w:type="dxa"/>
            <w:gridSpan w:val="12"/>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07</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trHeight w:val="255" w:hRule="atLeast"/>
          <w:jc w:val="center"/>
        </w:trPr>
        <w:tc>
          <w:tcPr>
            <w:tcW w:w="4294" w:type="dxa"/>
            <w:gridSpan w:val="4"/>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880" w:type="dxa"/>
            <w:tcBorders>
              <w:top w:val="nil"/>
              <w:left w:val="nil"/>
              <w:bottom w:val="nil"/>
              <w:right w:val="nil"/>
            </w:tcBorders>
            <w:vAlign w:val="bottom"/>
          </w:tcPr>
          <w:p>
            <w:pPr>
              <w:jc w:val="left"/>
              <w:rPr>
                <w:rFonts w:ascii="Arial" w:hAnsi="Arial" w:cs="Arial"/>
                <w:color w:val="000000"/>
                <w:kern w:val="0"/>
                <w:sz w:val="20"/>
              </w:rPr>
            </w:pPr>
          </w:p>
        </w:tc>
        <w:tc>
          <w:tcPr>
            <w:tcW w:w="1096" w:type="dxa"/>
            <w:tcBorders>
              <w:top w:val="nil"/>
              <w:left w:val="nil"/>
              <w:bottom w:val="nil"/>
              <w:right w:val="nil"/>
            </w:tcBorders>
            <w:vAlign w:val="bottom"/>
          </w:tcPr>
          <w:p>
            <w:pPr>
              <w:jc w:val="left"/>
              <w:rPr>
                <w:rFonts w:ascii="Arial" w:hAnsi="Arial" w:cs="Arial"/>
                <w:color w:val="000000"/>
                <w:kern w:val="0"/>
                <w:sz w:val="20"/>
              </w:rPr>
            </w:pPr>
          </w:p>
        </w:tc>
        <w:tc>
          <w:tcPr>
            <w:tcW w:w="640" w:type="dxa"/>
            <w:tcBorders>
              <w:top w:val="nil"/>
              <w:left w:val="nil"/>
              <w:bottom w:val="nil"/>
              <w:right w:val="nil"/>
            </w:tcBorders>
            <w:vAlign w:val="bottom"/>
          </w:tcPr>
          <w:p>
            <w:pPr>
              <w:jc w:val="left"/>
              <w:rPr>
                <w:rFonts w:ascii="Arial" w:hAnsi="Arial" w:cs="Arial"/>
                <w:color w:val="000000"/>
                <w:kern w:val="0"/>
                <w:sz w:val="20"/>
              </w:rPr>
            </w:pPr>
          </w:p>
        </w:tc>
        <w:tc>
          <w:tcPr>
            <w:tcW w:w="876" w:type="dxa"/>
            <w:tcBorders>
              <w:top w:val="nil"/>
              <w:left w:val="nil"/>
              <w:bottom w:val="nil"/>
              <w:right w:val="nil"/>
            </w:tcBorders>
            <w:vAlign w:val="bottom"/>
          </w:tcPr>
          <w:p>
            <w:pPr>
              <w:jc w:val="left"/>
              <w:rPr>
                <w:rFonts w:ascii="Arial" w:hAnsi="Arial" w:cs="Arial"/>
                <w:color w:val="000000"/>
                <w:kern w:val="0"/>
                <w:sz w:val="20"/>
              </w:rPr>
            </w:pPr>
          </w:p>
        </w:tc>
        <w:tc>
          <w:tcPr>
            <w:tcW w:w="580" w:type="dxa"/>
            <w:tcBorders>
              <w:top w:val="nil"/>
              <w:left w:val="nil"/>
              <w:bottom w:val="nil"/>
              <w:right w:val="nil"/>
            </w:tcBorders>
            <w:vAlign w:val="bottom"/>
          </w:tcPr>
          <w:p>
            <w:pPr>
              <w:jc w:val="left"/>
              <w:rPr>
                <w:rFonts w:ascii="Arial" w:hAnsi="Arial" w:cs="Arial"/>
                <w:color w:val="000000"/>
                <w:kern w:val="0"/>
                <w:sz w:val="20"/>
              </w:rPr>
            </w:pPr>
          </w:p>
        </w:tc>
        <w:tc>
          <w:tcPr>
            <w:tcW w:w="860" w:type="dxa"/>
            <w:tcBorders>
              <w:top w:val="nil"/>
              <w:left w:val="nil"/>
              <w:bottom w:val="nil"/>
              <w:right w:val="nil"/>
            </w:tcBorders>
            <w:vAlign w:val="bottom"/>
          </w:tcPr>
          <w:p>
            <w:pPr>
              <w:jc w:val="left"/>
              <w:rPr>
                <w:rFonts w:ascii="Arial" w:hAnsi="Arial" w:cs="Arial"/>
                <w:color w:val="000000"/>
                <w:kern w:val="0"/>
                <w:sz w:val="20"/>
              </w:rPr>
            </w:pPr>
          </w:p>
        </w:tc>
        <w:tc>
          <w:tcPr>
            <w:tcW w:w="880" w:type="dxa"/>
            <w:tcBorders>
              <w:top w:val="nil"/>
              <w:left w:val="nil"/>
              <w:bottom w:val="nil"/>
              <w:right w:val="nil"/>
            </w:tcBorders>
            <w:vAlign w:val="bottom"/>
          </w:tcPr>
          <w:p>
            <w:pPr>
              <w:jc w:val="left"/>
              <w:rPr>
                <w:rFonts w:ascii="Arial" w:hAnsi="Arial" w:cs="Arial"/>
                <w:color w:val="000000"/>
                <w:kern w:val="0"/>
                <w:sz w:val="20"/>
              </w:rPr>
            </w:pPr>
          </w:p>
        </w:tc>
        <w:tc>
          <w:tcPr>
            <w:tcW w:w="1561" w:type="dxa"/>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trHeight w:val="308" w:hRule="atLeast"/>
          <w:jc w:val="center"/>
        </w:trPr>
        <w:tc>
          <w:tcPr>
            <w:tcW w:w="6270"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预算数</w:t>
            </w:r>
          </w:p>
        </w:tc>
        <w:tc>
          <w:tcPr>
            <w:tcW w:w="5397" w:type="dxa"/>
            <w:gridSpan w:val="6"/>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决算数</w:t>
            </w:r>
          </w:p>
        </w:tc>
      </w:tr>
      <w:tr>
        <w:tblPrEx>
          <w:tblLayout w:type="fixed"/>
          <w:tblCellMar>
            <w:top w:w="0" w:type="dxa"/>
            <w:left w:w="108" w:type="dxa"/>
            <w:bottom w:w="0" w:type="dxa"/>
            <w:right w:w="108" w:type="dxa"/>
          </w:tblCellMar>
        </w:tblPrEx>
        <w:trPr>
          <w:trHeight w:val="308" w:hRule="atLeast"/>
          <w:jc w:val="center"/>
        </w:trPr>
        <w:tc>
          <w:tcPr>
            <w:tcW w:w="1245" w:type="dxa"/>
            <w:vMerge w:val="restart"/>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1029"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因公出国（境）费</w:t>
            </w:r>
          </w:p>
        </w:tc>
        <w:tc>
          <w:tcPr>
            <w:tcW w:w="2900" w:type="dxa"/>
            <w:gridSpan w:val="3"/>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公务用车购置及运行费</w:t>
            </w:r>
          </w:p>
        </w:tc>
        <w:tc>
          <w:tcPr>
            <w:tcW w:w="1096"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公务接待费</w:t>
            </w:r>
          </w:p>
        </w:tc>
        <w:tc>
          <w:tcPr>
            <w:tcW w:w="64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876"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因公出国（境）费</w:t>
            </w:r>
          </w:p>
        </w:tc>
        <w:tc>
          <w:tcPr>
            <w:tcW w:w="2320" w:type="dxa"/>
            <w:gridSpan w:val="3"/>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公务用车购置及运行费</w:t>
            </w:r>
          </w:p>
        </w:tc>
        <w:tc>
          <w:tcPr>
            <w:tcW w:w="1561"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公务接待费</w:t>
            </w:r>
          </w:p>
        </w:tc>
      </w:tr>
      <w:tr>
        <w:tblPrEx>
          <w:tblLayout w:type="fixed"/>
          <w:tblCellMar>
            <w:top w:w="0" w:type="dxa"/>
            <w:left w:w="108" w:type="dxa"/>
            <w:bottom w:w="0" w:type="dxa"/>
            <w:right w:w="108" w:type="dxa"/>
          </w:tblCellMar>
        </w:tblPrEx>
        <w:trPr>
          <w:trHeight w:val="615" w:hRule="atLeast"/>
          <w:jc w:val="center"/>
        </w:trPr>
        <w:tc>
          <w:tcPr>
            <w:tcW w:w="1245"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1029"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80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小计</w:t>
            </w:r>
          </w:p>
        </w:tc>
        <w:tc>
          <w:tcPr>
            <w:tcW w:w="122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公务用车购置费</w:t>
            </w:r>
          </w:p>
        </w:tc>
        <w:tc>
          <w:tcPr>
            <w:tcW w:w="8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公务用车运行费</w:t>
            </w:r>
          </w:p>
        </w:tc>
        <w:tc>
          <w:tcPr>
            <w:tcW w:w="1096"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64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876"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小计</w:t>
            </w:r>
          </w:p>
        </w:tc>
        <w:tc>
          <w:tcPr>
            <w:tcW w:w="8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公务用车购置费</w:t>
            </w:r>
          </w:p>
        </w:tc>
        <w:tc>
          <w:tcPr>
            <w:tcW w:w="8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公务用车运行费</w:t>
            </w:r>
          </w:p>
        </w:tc>
        <w:tc>
          <w:tcPr>
            <w:tcW w:w="1561"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jc w:val="center"/>
        </w:trPr>
        <w:tc>
          <w:tcPr>
            <w:tcW w:w="1245" w:type="dxa"/>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1029"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80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122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c>
          <w:tcPr>
            <w:tcW w:w="8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w:t>
            </w:r>
          </w:p>
        </w:tc>
        <w:tc>
          <w:tcPr>
            <w:tcW w:w="1096"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6</w:t>
            </w:r>
          </w:p>
        </w:tc>
        <w:tc>
          <w:tcPr>
            <w:tcW w:w="64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7</w:t>
            </w:r>
          </w:p>
        </w:tc>
        <w:tc>
          <w:tcPr>
            <w:tcW w:w="876"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8</w:t>
            </w:r>
          </w:p>
        </w:tc>
        <w:tc>
          <w:tcPr>
            <w:tcW w:w="5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9</w:t>
            </w:r>
          </w:p>
        </w:tc>
        <w:tc>
          <w:tcPr>
            <w:tcW w:w="86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10</w:t>
            </w:r>
          </w:p>
        </w:tc>
        <w:tc>
          <w:tcPr>
            <w:tcW w:w="880"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11</w:t>
            </w:r>
          </w:p>
        </w:tc>
        <w:tc>
          <w:tcPr>
            <w:tcW w:w="1561"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12</w:t>
            </w:r>
          </w:p>
        </w:tc>
      </w:tr>
      <w:tr>
        <w:tblPrEx>
          <w:tblLayout w:type="fixed"/>
          <w:tblCellMar>
            <w:top w:w="0" w:type="dxa"/>
            <w:left w:w="108" w:type="dxa"/>
            <w:bottom w:w="0" w:type="dxa"/>
            <w:right w:w="108" w:type="dxa"/>
          </w:tblCellMar>
        </w:tblPrEx>
        <w:trPr>
          <w:trHeight w:val="308" w:hRule="atLeast"/>
          <w:jc w:val="center"/>
        </w:trPr>
        <w:tc>
          <w:tcPr>
            <w:tcW w:w="1245" w:type="dxa"/>
            <w:tcBorders>
              <w:top w:val="nil"/>
              <w:left w:val="single" w:color="000000" w:sz="4" w:space="0"/>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2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80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22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88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9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64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876"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86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880"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56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615" w:hRule="atLeast"/>
          <w:jc w:val="center"/>
        </w:trPr>
        <w:tc>
          <w:tcPr>
            <w:tcW w:w="11667" w:type="dxa"/>
            <w:gridSpan w:val="12"/>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三公”经费支出预决算情况。其中：预算数为“三公”经费年初预算数，决算数是包括当年一般公共预算财政拨款和以前年度结转资金安排的实际支出。本表金额转换为万元时，因四舍五入可能存在尾差。</w:t>
            </w:r>
          </w:p>
        </w:tc>
      </w:tr>
    </w:tbl>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hint="eastAsia" w:ascii="仿宋" w:hAnsi="仿宋" w:eastAsia="仿宋" w:cs="仿宋"/>
          <w:kern w:val="0"/>
          <w:sz w:val="32"/>
          <w:szCs w:val="32"/>
        </w:rPr>
      </w:pPr>
    </w:p>
    <w:p>
      <w:pPr>
        <w:spacing w:beforeAutospacing="1" w:afterAutospacing="1"/>
        <w:ind w:firstLine="320" w:firstLineChars="100"/>
        <w:jc w:val="center"/>
        <w:rPr>
          <w:rFonts w:ascii="仿宋" w:hAnsi="仿宋" w:eastAsia="仿宋" w:cs="仿宋"/>
        </w:rPr>
      </w:pPr>
      <w:r>
        <w:rPr>
          <w:rFonts w:hint="eastAsia" w:ascii="仿宋" w:hAnsi="仿宋" w:eastAsia="仿宋" w:cs="仿宋"/>
          <w:kern w:val="0"/>
          <w:sz w:val="32"/>
          <w:szCs w:val="32"/>
        </w:rPr>
        <w:t>八、政府性基金预算财政拨款收入支出决算表</w:t>
      </w:r>
    </w:p>
    <w:tbl>
      <w:tblPr>
        <w:tblStyle w:val="7"/>
        <w:tblW w:w="11651" w:type="dxa"/>
        <w:jc w:val="center"/>
        <w:tblInd w:w="0" w:type="dxa"/>
        <w:tblLayout w:type="fixed"/>
        <w:tblCellMar>
          <w:top w:w="0" w:type="dxa"/>
          <w:left w:w="108" w:type="dxa"/>
          <w:bottom w:w="0" w:type="dxa"/>
          <w:right w:w="108" w:type="dxa"/>
        </w:tblCellMar>
      </w:tblPr>
      <w:tblGrid>
        <w:gridCol w:w="2859"/>
        <w:gridCol w:w="1050"/>
        <w:gridCol w:w="1305"/>
        <w:gridCol w:w="972"/>
        <w:gridCol w:w="579"/>
        <w:gridCol w:w="1148"/>
        <w:gridCol w:w="1031"/>
        <w:gridCol w:w="2707"/>
      </w:tblGrid>
      <w:tr>
        <w:tblPrEx>
          <w:tblLayout w:type="fixed"/>
          <w:tblCellMar>
            <w:top w:w="0" w:type="dxa"/>
            <w:left w:w="108" w:type="dxa"/>
            <w:bottom w:w="0" w:type="dxa"/>
            <w:right w:w="108" w:type="dxa"/>
          </w:tblCellMar>
        </w:tblPrEx>
        <w:trPr>
          <w:trHeight w:val="390" w:hRule="atLeast"/>
          <w:jc w:val="center"/>
        </w:trPr>
        <w:tc>
          <w:tcPr>
            <w:tcW w:w="11651" w:type="dxa"/>
            <w:gridSpan w:val="8"/>
            <w:tcBorders>
              <w:top w:val="nil"/>
              <w:left w:val="nil"/>
              <w:bottom w:val="nil"/>
              <w:right w:val="nil"/>
            </w:tcBorders>
            <w:vAlign w:val="bottom"/>
          </w:tcPr>
          <w:p>
            <w:pPr>
              <w:jc w:val="center"/>
              <w:rPr>
                <w:rFonts w:ascii="Arial" w:hAnsi="Arial" w:cs="Arial"/>
                <w:color w:val="000000"/>
                <w:kern w:val="0"/>
                <w:sz w:val="28"/>
                <w:szCs w:val="28"/>
              </w:rPr>
            </w:pPr>
            <w:r>
              <w:rPr>
                <w:rFonts w:hint="eastAsia" w:ascii="宋体" w:hAnsi="宋体" w:cs="Arial"/>
                <w:color w:val="000000"/>
                <w:kern w:val="0"/>
                <w:sz w:val="28"/>
                <w:szCs w:val="28"/>
              </w:rPr>
              <w:t>政府性基金预算财政拨款收入支出决算表</w:t>
            </w:r>
          </w:p>
        </w:tc>
      </w:tr>
      <w:tr>
        <w:tblPrEx>
          <w:tblLayout w:type="fixed"/>
          <w:tblCellMar>
            <w:top w:w="0" w:type="dxa"/>
            <w:left w:w="108" w:type="dxa"/>
            <w:bottom w:w="0" w:type="dxa"/>
            <w:right w:w="108" w:type="dxa"/>
          </w:tblCellMar>
        </w:tblPrEx>
        <w:trPr>
          <w:trHeight w:val="255" w:hRule="atLeast"/>
          <w:jc w:val="center"/>
        </w:trPr>
        <w:tc>
          <w:tcPr>
            <w:tcW w:w="11651" w:type="dxa"/>
            <w:gridSpan w:val="8"/>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公开</w:t>
            </w:r>
            <w:r>
              <w:rPr>
                <w:rFonts w:ascii="宋体" w:hAnsi="宋体" w:cs="Arial"/>
                <w:color w:val="000000"/>
                <w:kern w:val="0"/>
                <w:sz w:val="20"/>
              </w:rPr>
              <w:t>08</w:t>
            </w:r>
            <w:r>
              <w:rPr>
                <w:rFonts w:hint="eastAsia" w:ascii="宋体" w:hAnsi="宋体" w:cs="Arial"/>
                <w:color w:val="000000"/>
                <w:kern w:val="0"/>
                <w:sz w:val="20"/>
              </w:rPr>
              <w:t>表</w:t>
            </w:r>
          </w:p>
        </w:tc>
      </w:tr>
      <w:tr>
        <w:tblPrEx>
          <w:tblLayout w:type="fixed"/>
          <w:tblCellMar>
            <w:top w:w="0" w:type="dxa"/>
            <w:left w:w="108" w:type="dxa"/>
            <w:bottom w:w="0" w:type="dxa"/>
            <w:right w:w="108" w:type="dxa"/>
          </w:tblCellMar>
        </w:tblPrEx>
        <w:trPr>
          <w:trHeight w:val="255" w:hRule="atLeast"/>
          <w:jc w:val="center"/>
        </w:trPr>
        <w:tc>
          <w:tcPr>
            <w:tcW w:w="6186" w:type="dxa"/>
            <w:gridSpan w:val="4"/>
            <w:tcBorders>
              <w:top w:val="nil"/>
              <w:left w:val="nil"/>
              <w:bottom w:val="nil"/>
              <w:right w:val="nil"/>
            </w:tcBorders>
            <w:vAlign w:val="bottom"/>
          </w:tcPr>
          <w:p>
            <w:pPr>
              <w:jc w:val="left"/>
              <w:rPr>
                <w:rFonts w:ascii="宋体" w:cs="Arial"/>
                <w:color w:val="000000"/>
                <w:kern w:val="0"/>
                <w:sz w:val="20"/>
              </w:rPr>
            </w:pPr>
            <w:r>
              <w:rPr>
                <w:rFonts w:hint="eastAsia" w:ascii="宋体" w:hAnsi="宋体" w:cs="Arial"/>
                <w:color w:val="000000"/>
                <w:kern w:val="0"/>
                <w:sz w:val="20"/>
              </w:rPr>
              <w:t>部门：河南省周口市项城市妇女联合会</w:t>
            </w:r>
          </w:p>
        </w:tc>
        <w:tc>
          <w:tcPr>
            <w:tcW w:w="579" w:type="dxa"/>
            <w:tcBorders>
              <w:top w:val="nil"/>
              <w:left w:val="nil"/>
              <w:bottom w:val="nil"/>
              <w:right w:val="nil"/>
            </w:tcBorders>
            <w:vAlign w:val="bottom"/>
          </w:tcPr>
          <w:p>
            <w:pPr>
              <w:jc w:val="left"/>
              <w:rPr>
                <w:rFonts w:ascii="Arial" w:hAnsi="Arial" w:cs="Arial"/>
                <w:color w:val="000000"/>
                <w:kern w:val="0"/>
                <w:sz w:val="20"/>
              </w:rPr>
            </w:pPr>
          </w:p>
        </w:tc>
        <w:tc>
          <w:tcPr>
            <w:tcW w:w="1148" w:type="dxa"/>
            <w:tcBorders>
              <w:top w:val="nil"/>
              <w:left w:val="nil"/>
              <w:bottom w:val="nil"/>
              <w:right w:val="nil"/>
            </w:tcBorders>
            <w:vAlign w:val="bottom"/>
          </w:tcPr>
          <w:p>
            <w:pPr>
              <w:jc w:val="left"/>
              <w:rPr>
                <w:rFonts w:ascii="Arial" w:hAnsi="Arial" w:cs="Arial"/>
                <w:color w:val="000000"/>
                <w:kern w:val="0"/>
                <w:sz w:val="20"/>
              </w:rPr>
            </w:pPr>
          </w:p>
        </w:tc>
        <w:tc>
          <w:tcPr>
            <w:tcW w:w="1031" w:type="dxa"/>
            <w:tcBorders>
              <w:top w:val="nil"/>
              <w:left w:val="nil"/>
              <w:bottom w:val="nil"/>
              <w:right w:val="nil"/>
            </w:tcBorders>
            <w:vAlign w:val="bottom"/>
          </w:tcPr>
          <w:p>
            <w:pPr>
              <w:jc w:val="left"/>
              <w:rPr>
                <w:rFonts w:ascii="Arial" w:hAnsi="Arial" w:cs="Arial"/>
                <w:color w:val="000000"/>
                <w:kern w:val="0"/>
                <w:sz w:val="20"/>
              </w:rPr>
            </w:pPr>
          </w:p>
        </w:tc>
        <w:tc>
          <w:tcPr>
            <w:tcW w:w="2707" w:type="dxa"/>
            <w:tcBorders>
              <w:top w:val="nil"/>
              <w:left w:val="nil"/>
              <w:bottom w:val="nil"/>
              <w:right w:val="nil"/>
            </w:tcBorders>
            <w:vAlign w:val="bottom"/>
          </w:tcPr>
          <w:p>
            <w:pPr>
              <w:jc w:val="right"/>
              <w:rPr>
                <w:rFonts w:ascii="宋体" w:cs="Arial"/>
                <w:color w:val="000000"/>
                <w:kern w:val="0"/>
                <w:sz w:val="20"/>
              </w:rPr>
            </w:pPr>
            <w:r>
              <w:rPr>
                <w:rFonts w:hint="eastAsia" w:ascii="宋体" w:hAnsi="宋体" w:cs="Arial"/>
                <w:color w:val="000000"/>
                <w:kern w:val="0"/>
                <w:sz w:val="20"/>
              </w:rPr>
              <w:t>金额单位：元</w:t>
            </w:r>
          </w:p>
        </w:tc>
      </w:tr>
      <w:tr>
        <w:tblPrEx>
          <w:tblLayout w:type="fixed"/>
          <w:tblCellMar>
            <w:top w:w="0" w:type="dxa"/>
            <w:left w:w="108" w:type="dxa"/>
            <w:bottom w:w="0" w:type="dxa"/>
            <w:right w:w="108" w:type="dxa"/>
          </w:tblCellMar>
        </w:tblPrEx>
        <w:trPr>
          <w:trHeight w:val="308" w:hRule="atLeast"/>
          <w:jc w:val="center"/>
        </w:trPr>
        <w:tc>
          <w:tcPr>
            <w:tcW w:w="3909" w:type="dxa"/>
            <w:gridSpan w:val="2"/>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w:t>
            </w:r>
          </w:p>
        </w:tc>
        <w:tc>
          <w:tcPr>
            <w:tcW w:w="1305"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年初结转和结余</w:t>
            </w:r>
          </w:p>
        </w:tc>
        <w:tc>
          <w:tcPr>
            <w:tcW w:w="972"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本年收入</w:t>
            </w:r>
          </w:p>
        </w:tc>
        <w:tc>
          <w:tcPr>
            <w:tcW w:w="2758" w:type="dxa"/>
            <w:gridSpan w:val="3"/>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本年支出</w:t>
            </w:r>
          </w:p>
        </w:tc>
        <w:tc>
          <w:tcPr>
            <w:tcW w:w="2707" w:type="dxa"/>
            <w:vMerge w:val="restart"/>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年末结转和结余</w:t>
            </w:r>
          </w:p>
        </w:tc>
      </w:tr>
      <w:tr>
        <w:tblPrEx>
          <w:tblLayout w:type="fixed"/>
          <w:tblCellMar>
            <w:top w:w="0" w:type="dxa"/>
            <w:left w:w="108" w:type="dxa"/>
            <w:bottom w:w="0" w:type="dxa"/>
            <w:right w:w="108" w:type="dxa"/>
          </w:tblCellMar>
        </w:tblPrEx>
        <w:trPr>
          <w:trHeight w:val="312" w:hRule="atLeast"/>
          <w:jc w:val="center"/>
        </w:trPr>
        <w:tc>
          <w:tcPr>
            <w:tcW w:w="2859" w:type="dxa"/>
            <w:vMerge w:val="restart"/>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功能分类科目编码</w:t>
            </w:r>
          </w:p>
        </w:tc>
        <w:tc>
          <w:tcPr>
            <w:tcW w:w="1050"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科目名称</w:t>
            </w:r>
          </w:p>
        </w:tc>
        <w:tc>
          <w:tcPr>
            <w:tcW w:w="1305"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972"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579"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小计</w:t>
            </w:r>
          </w:p>
        </w:tc>
        <w:tc>
          <w:tcPr>
            <w:tcW w:w="1148"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基本支出</w:t>
            </w:r>
          </w:p>
        </w:tc>
        <w:tc>
          <w:tcPr>
            <w:tcW w:w="1031" w:type="dxa"/>
            <w:vMerge w:val="restart"/>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项目支出</w:t>
            </w:r>
          </w:p>
        </w:tc>
        <w:tc>
          <w:tcPr>
            <w:tcW w:w="270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2859"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105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305"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972"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579"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148"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31"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270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jc w:val="center"/>
        </w:trPr>
        <w:tc>
          <w:tcPr>
            <w:tcW w:w="2859" w:type="dxa"/>
            <w:vMerge w:val="continue"/>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p>
        </w:tc>
        <w:tc>
          <w:tcPr>
            <w:tcW w:w="1050"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305"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972"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579"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148"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1031" w:type="dxa"/>
            <w:vMerge w:val="continue"/>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p>
        </w:tc>
        <w:tc>
          <w:tcPr>
            <w:tcW w:w="2707" w:type="dxa"/>
            <w:vMerge w:val="continue"/>
            <w:tcBorders>
              <w:top w:val="single" w:color="000000" w:sz="4" w:space="0"/>
              <w:left w:val="nil"/>
              <w:bottom w:val="single" w:color="000000" w:sz="4" w:space="0"/>
              <w:right w:val="single" w:color="000000" w:sz="4" w:space="0"/>
            </w:tcBorders>
            <w:vAlign w:val="center"/>
          </w:tcPr>
          <w:p>
            <w:pPr>
              <w:jc w:val="left"/>
              <w:rPr>
                <w:rFonts w:asci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jc w:val="center"/>
        </w:trPr>
        <w:tc>
          <w:tcPr>
            <w:tcW w:w="3909"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栏次</w:t>
            </w:r>
          </w:p>
        </w:tc>
        <w:tc>
          <w:tcPr>
            <w:tcW w:w="1305"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1</w:t>
            </w:r>
          </w:p>
        </w:tc>
        <w:tc>
          <w:tcPr>
            <w:tcW w:w="972"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2</w:t>
            </w:r>
          </w:p>
        </w:tc>
        <w:tc>
          <w:tcPr>
            <w:tcW w:w="579"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3</w:t>
            </w:r>
          </w:p>
        </w:tc>
        <w:tc>
          <w:tcPr>
            <w:tcW w:w="1148"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4</w:t>
            </w:r>
          </w:p>
        </w:tc>
        <w:tc>
          <w:tcPr>
            <w:tcW w:w="1031"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5</w:t>
            </w:r>
          </w:p>
        </w:tc>
        <w:tc>
          <w:tcPr>
            <w:tcW w:w="2707" w:type="dxa"/>
            <w:tcBorders>
              <w:top w:val="nil"/>
              <w:left w:val="nil"/>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ascii="宋体" w:hAnsi="宋体" w:cs="Arial"/>
                <w:color w:val="000000"/>
                <w:kern w:val="0"/>
                <w:sz w:val="22"/>
                <w:szCs w:val="22"/>
              </w:rPr>
              <w:t>6</w:t>
            </w:r>
          </w:p>
        </w:tc>
      </w:tr>
      <w:tr>
        <w:tblPrEx>
          <w:tblLayout w:type="fixed"/>
          <w:tblCellMar>
            <w:top w:w="0" w:type="dxa"/>
            <w:left w:w="108" w:type="dxa"/>
            <w:bottom w:w="0" w:type="dxa"/>
            <w:right w:w="108" w:type="dxa"/>
          </w:tblCellMar>
        </w:tblPrEx>
        <w:trPr>
          <w:trHeight w:val="308" w:hRule="atLeast"/>
          <w:jc w:val="center"/>
        </w:trPr>
        <w:tc>
          <w:tcPr>
            <w:tcW w:w="3909" w:type="dxa"/>
            <w:gridSpan w:val="2"/>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cs="Arial"/>
                <w:color w:val="000000"/>
                <w:kern w:val="0"/>
                <w:sz w:val="22"/>
                <w:szCs w:val="22"/>
              </w:rPr>
            </w:pPr>
            <w:r>
              <w:rPr>
                <w:rFonts w:hint="eastAsia" w:ascii="宋体" w:hAnsi="宋体" w:cs="Arial"/>
                <w:color w:val="000000"/>
                <w:kern w:val="0"/>
                <w:sz w:val="22"/>
                <w:szCs w:val="22"/>
              </w:rPr>
              <w:t>合计</w:t>
            </w:r>
          </w:p>
        </w:tc>
        <w:tc>
          <w:tcPr>
            <w:tcW w:w="1305"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hint="eastAsia" w:ascii="宋体" w:hAnsi="宋体" w:cs="Arial"/>
                <w:b/>
                <w:bCs/>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hint="eastAsia" w:ascii="宋体" w:hAnsi="宋体" w:cs="Arial"/>
                <w:b/>
                <w:bCs/>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hint="eastAsia" w:ascii="宋体" w:hAnsi="宋体" w:cs="Arial"/>
                <w:b/>
                <w:bCs/>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hint="eastAsia" w:ascii="宋体" w:hAnsi="宋体" w:cs="Arial"/>
                <w:b/>
                <w:bCs/>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hint="eastAsia" w:ascii="宋体" w:hAnsi="宋体" w:cs="Arial"/>
                <w:b/>
                <w:bCs/>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b/>
                <w:bCs/>
                <w:color w:val="000000"/>
                <w:kern w:val="0"/>
                <w:sz w:val="22"/>
                <w:szCs w:val="22"/>
              </w:rPr>
            </w:pPr>
            <w:r>
              <w:rPr>
                <w:rFonts w:hint="eastAsia" w:ascii="宋体" w:hAnsi="宋体" w:cs="Arial"/>
                <w:b/>
                <w:bCs/>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2859"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0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30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2859"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0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30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2859"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0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30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2859"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0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30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2859"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0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30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2859" w:type="dxa"/>
            <w:tcBorders>
              <w:top w:val="nil"/>
              <w:left w:val="single" w:color="000000" w:sz="4" w:space="0"/>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050" w:type="dxa"/>
            <w:tcBorders>
              <w:top w:val="nil"/>
              <w:left w:val="nil"/>
              <w:bottom w:val="single" w:color="000000" w:sz="4" w:space="0"/>
              <w:right w:val="single" w:color="000000" w:sz="4" w:space="0"/>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　</w:t>
            </w:r>
          </w:p>
        </w:tc>
        <w:tc>
          <w:tcPr>
            <w:tcW w:w="1305"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972"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579"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148"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1031"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c>
          <w:tcPr>
            <w:tcW w:w="2707" w:type="dxa"/>
            <w:tcBorders>
              <w:top w:val="nil"/>
              <w:left w:val="nil"/>
              <w:bottom w:val="single" w:color="000000" w:sz="4" w:space="0"/>
              <w:right w:val="single" w:color="000000" w:sz="4" w:space="0"/>
            </w:tcBorders>
            <w:vAlign w:val="center"/>
          </w:tcPr>
          <w:p>
            <w:pPr>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jc w:val="center"/>
        </w:trPr>
        <w:tc>
          <w:tcPr>
            <w:tcW w:w="11651" w:type="dxa"/>
            <w:gridSpan w:val="8"/>
            <w:tcBorders>
              <w:top w:val="nil"/>
              <w:left w:val="nil"/>
              <w:bottom w:val="nil"/>
              <w:right w:val="nil"/>
            </w:tcBorders>
            <w:vAlign w:val="center"/>
          </w:tcPr>
          <w:p>
            <w:pPr>
              <w:jc w:val="left"/>
              <w:rPr>
                <w:rFonts w:ascii="宋体" w:cs="Arial"/>
                <w:color w:val="000000"/>
                <w:kern w:val="0"/>
                <w:sz w:val="22"/>
                <w:szCs w:val="22"/>
              </w:rPr>
            </w:pPr>
            <w:r>
              <w:rPr>
                <w:rFonts w:hint="eastAsia" w:ascii="宋体" w:hAnsi="宋体" w:cs="Arial"/>
                <w:color w:val="000000"/>
                <w:kern w:val="0"/>
                <w:sz w:val="22"/>
                <w:szCs w:val="22"/>
              </w:rPr>
              <w:t>注：本表反映部门本年度政府性基金预算财政拨款收入、支出及结转和结余情况。本表金额转换为万元时，因四舍五入可能存在尾差。</w:t>
            </w:r>
          </w:p>
        </w:tc>
      </w:tr>
    </w:tbl>
    <w:p>
      <w:pPr>
        <w:spacing w:beforeAutospacing="1" w:afterAutospacing="1"/>
        <w:jc w:val="left"/>
        <w:rPr>
          <w:rFonts w:ascii="仿宋" w:hAnsi="仿宋" w:eastAsia="仿宋" w:cs="仿宋"/>
          <w:kern w:val="0"/>
          <w:sz w:val="32"/>
          <w:szCs w:val="32"/>
        </w:rPr>
      </w:pPr>
    </w:p>
    <w:p>
      <w:pPr>
        <w:spacing w:beforeAutospacing="1" w:afterAutospacing="1"/>
        <w:jc w:val="left"/>
        <w:rPr>
          <w:rFonts w:ascii="仿宋" w:hAnsi="仿宋" w:eastAsia="仿宋" w:cs="仿宋"/>
          <w:kern w:val="0"/>
          <w:sz w:val="32"/>
          <w:szCs w:val="32"/>
        </w:rPr>
      </w:pPr>
    </w:p>
    <w:p>
      <w:pPr>
        <w:spacing w:beforeAutospacing="1" w:afterAutospacing="1"/>
        <w:jc w:val="left"/>
        <w:rPr>
          <w:rFonts w:ascii="仿宋" w:hAnsi="仿宋" w:eastAsia="仿宋" w:cs="仿宋"/>
          <w:kern w:val="0"/>
          <w:sz w:val="32"/>
          <w:szCs w:val="32"/>
        </w:rPr>
      </w:pPr>
    </w:p>
    <w:p>
      <w:pPr>
        <w:spacing w:beforeAutospacing="1" w:afterAutospacing="1"/>
        <w:jc w:val="left"/>
        <w:rPr>
          <w:rFonts w:ascii="仿宋" w:hAnsi="仿宋" w:eastAsia="仿宋" w:cs="仿宋"/>
          <w:kern w:val="0"/>
          <w:sz w:val="32"/>
          <w:szCs w:val="32"/>
        </w:rPr>
      </w:pPr>
    </w:p>
    <w:p>
      <w:pPr>
        <w:spacing w:beforeAutospacing="1" w:afterAutospacing="1"/>
        <w:jc w:val="left"/>
        <w:rPr>
          <w:rFonts w:ascii="仿宋" w:hAnsi="仿宋" w:eastAsia="仿宋" w:cs="仿宋"/>
          <w:kern w:val="0"/>
          <w:sz w:val="32"/>
          <w:szCs w:val="32"/>
        </w:rPr>
      </w:pPr>
    </w:p>
    <w:p>
      <w:pPr>
        <w:jc w:val="center"/>
        <w:rPr>
          <w:rFonts w:hint="eastAsia" w:ascii="黑体" w:hAnsi="黑体" w:eastAsia="黑体"/>
          <w:sz w:val="48"/>
        </w:rPr>
      </w:pPr>
    </w:p>
    <w:p>
      <w:pPr>
        <w:jc w:val="both"/>
        <w:rPr>
          <w:rFonts w:hint="eastAsia" w:ascii="黑体" w:hAnsi="黑体" w:eastAsia="黑体"/>
          <w:sz w:val="48"/>
        </w:rPr>
      </w:pPr>
    </w:p>
    <w:p>
      <w:pPr>
        <w:jc w:val="center"/>
        <w:rPr>
          <w:rFonts w:ascii="Times New Roman" w:hAnsi="Times New Roman"/>
          <w:sz w:val="48"/>
        </w:rPr>
      </w:pPr>
      <w:r>
        <w:rPr>
          <w:rFonts w:hint="eastAsia" w:ascii="黑体" w:hAnsi="黑体" w:eastAsia="黑体"/>
          <w:sz w:val="48"/>
        </w:rPr>
        <w:t>第三部分</w:t>
      </w:r>
    </w:p>
    <w:p>
      <w:pPr>
        <w:jc w:val="center"/>
        <w:rPr>
          <w:rFonts w:ascii="Times New Roman" w:hAnsi="Times New Roman"/>
          <w:sz w:val="48"/>
        </w:rPr>
      </w:pPr>
      <w:r>
        <w:rPr>
          <w:rFonts w:ascii="黑体" w:hAnsi="黑体" w:eastAsia="黑体"/>
          <w:sz w:val="48"/>
        </w:rPr>
        <w:t>2018</w:t>
      </w:r>
      <w:r>
        <w:rPr>
          <w:rFonts w:hint="eastAsia" w:ascii="黑体" w:hAnsi="黑体" w:eastAsia="黑体"/>
          <w:sz w:val="48"/>
        </w:rPr>
        <w:t>年度部门决算情况说明</w:t>
      </w:r>
    </w:p>
    <w:p>
      <w:pPr>
        <w:ind w:firstLine="640"/>
        <w:jc w:val="left"/>
        <w:rPr>
          <w:rFonts w:ascii="仿宋" w:hAnsi="仿宋" w:eastAsia="仿宋"/>
          <w:sz w:val="32"/>
        </w:rPr>
      </w:pPr>
      <w:r>
        <w:rPr>
          <w:rFonts w:hint="eastAsia" w:ascii="黑体" w:hAnsi="黑体" w:eastAsia="黑体"/>
          <w:sz w:val="32"/>
        </w:rPr>
        <w:t>一、收入支出决算总体情况说明</w:t>
      </w:r>
    </w:p>
    <w:p>
      <w:pPr>
        <w:jc w:val="left"/>
        <w:rPr>
          <w:rFonts w:ascii="仿宋" w:hAnsi="仿宋" w:eastAsia="仿宋"/>
          <w:sz w:val="32"/>
        </w:rPr>
      </w:pPr>
      <w:r>
        <w:rPr>
          <w:rFonts w:ascii="仿宋" w:hAnsi="仿宋" w:eastAsia="仿宋"/>
          <w:sz w:val="32"/>
        </w:rPr>
        <w:t xml:space="preserve">     2018</w:t>
      </w:r>
      <w:r>
        <w:rPr>
          <w:rFonts w:hint="eastAsia" w:ascii="仿宋" w:hAnsi="仿宋" w:eastAsia="仿宋"/>
          <w:sz w:val="32"/>
        </w:rPr>
        <w:t>年度收、支总计均为</w:t>
      </w:r>
      <w:r>
        <w:rPr>
          <w:rFonts w:ascii="仿宋" w:hAnsi="仿宋" w:eastAsia="仿宋"/>
          <w:sz w:val="32"/>
        </w:rPr>
        <w:t>135.88</w:t>
      </w:r>
      <w:r>
        <w:rPr>
          <w:rFonts w:hint="eastAsia" w:ascii="仿宋" w:hAnsi="仿宋" w:eastAsia="仿宋"/>
          <w:sz w:val="32"/>
        </w:rPr>
        <w:t>万元。与</w:t>
      </w:r>
      <w:r>
        <w:rPr>
          <w:rFonts w:ascii="仿宋" w:hAnsi="仿宋" w:eastAsia="仿宋"/>
          <w:sz w:val="32"/>
        </w:rPr>
        <w:t>2017</w:t>
      </w:r>
      <w:r>
        <w:rPr>
          <w:rFonts w:hint="eastAsia" w:ascii="仿宋" w:hAnsi="仿宋" w:eastAsia="仿宋"/>
          <w:sz w:val="32"/>
        </w:rPr>
        <w:t>年相比，收、支总计各减少</w:t>
      </w:r>
      <w:r>
        <w:rPr>
          <w:rFonts w:ascii="仿宋" w:hAnsi="仿宋" w:eastAsia="仿宋"/>
          <w:sz w:val="32"/>
        </w:rPr>
        <w:t>571.59</w:t>
      </w:r>
      <w:r>
        <w:rPr>
          <w:rFonts w:hint="eastAsia" w:ascii="仿宋" w:hAnsi="仿宋" w:eastAsia="仿宋"/>
          <w:sz w:val="32"/>
        </w:rPr>
        <w:t>万元，减少</w:t>
      </w:r>
      <w:r>
        <w:rPr>
          <w:rFonts w:ascii="仿宋" w:hAnsi="仿宋" w:eastAsia="仿宋"/>
          <w:sz w:val="32"/>
        </w:rPr>
        <w:t>520.65%</w:t>
      </w:r>
      <w:r>
        <w:rPr>
          <w:rFonts w:hint="eastAsia" w:ascii="仿宋" w:hAnsi="仿宋" w:eastAsia="仿宋"/>
          <w:sz w:val="32"/>
        </w:rPr>
        <w:t>。主要原因是减少了民生实事“两筛查”工作专项资金。</w:t>
      </w:r>
    </w:p>
    <w:p>
      <w:pPr>
        <w:ind w:firstLine="640"/>
        <w:jc w:val="left"/>
        <w:rPr>
          <w:rFonts w:ascii="仿宋" w:hAnsi="仿宋" w:eastAsia="仿宋"/>
          <w:sz w:val="32"/>
        </w:rPr>
      </w:pPr>
      <w:r>
        <w:rPr>
          <w:rFonts w:hint="eastAsia" w:ascii="黑体" w:hAnsi="黑体" w:eastAsia="黑体"/>
          <w:sz w:val="32"/>
        </w:rPr>
        <w:t>二、收入决算情况说明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年度收入合计</w:t>
      </w:r>
      <w:r>
        <w:rPr>
          <w:rFonts w:ascii="仿宋" w:hAnsi="仿宋" w:eastAsia="仿宋"/>
          <w:sz w:val="32"/>
        </w:rPr>
        <w:t>135.88</w:t>
      </w:r>
      <w:r>
        <w:rPr>
          <w:rFonts w:hint="eastAsia" w:ascii="仿宋" w:hAnsi="仿宋" w:eastAsia="仿宋"/>
          <w:sz w:val="32"/>
        </w:rPr>
        <w:t>万元，其中：财政拨款收入</w:t>
      </w:r>
      <w:r>
        <w:rPr>
          <w:rFonts w:ascii="仿宋" w:hAnsi="仿宋" w:eastAsia="仿宋"/>
          <w:sz w:val="32"/>
        </w:rPr>
        <w:t>135.88</w:t>
      </w:r>
      <w:r>
        <w:rPr>
          <w:rFonts w:hint="eastAsia" w:ascii="仿宋" w:hAnsi="仿宋" w:eastAsia="仿宋"/>
          <w:sz w:val="32"/>
        </w:rPr>
        <w:t>万元，占</w:t>
      </w:r>
      <w:r>
        <w:rPr>
          <w:rFonts w:ascii="仿宋" w:hAnsi="仿宋" w:eastAsia="仿宋"/>
          <w:sz w:val="32"/>
        </w:rPr>
        <w:t>100%</w:t>
      </w:r>
      <w:r>
        <w:rPr>
          <w:rFonts w:hint="eastAsia" w:ascii="仿宋" w:hAnsi="仿宋" w:eastAsia="仿宋"/>
          <w:sz w:val="32"/>
        </w:rPr>
        <w:t>；上级补助收入</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；事业收入</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；经营收入</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；附属单位上缴收入</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；其他收入</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w:t>
      </w:r>
    </w:p>
    <w:p>
      <w:pPr>
        <w:ind w:firstLine="640"/>
        <w:jc w:val="left"/>
        <w:rPr>
          <w:rFonts w:ascii="仿宋" w:hAnsi="仿宋" w:eastAsia="仿宋"/>
          <w:sz w:val="32"/>
        </w:rPr>
      </w:pPr>
      <w:r>
        <w:rPr>
          <w:rFonts w:hint="eastAsia" w:ascii="黑体" w:hAnsi="黑体" w:eastAsia="黑体"/>
          <w:sz w:val="32"/>
        </w:rPr>
        <w:t>三、支出决算情况说明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年度支出合计</w:t>
      </w:r>
      <w:r>
        <w:rPr>
          <w:rFonts w:ascii="仿宋" w:hAnsi="仿宋" w:eastAsia="仿宋"/>
          <w:sz w:val="32"/>
        </w:rPr>
        <w:t>135.88</w:t>
      </w:r>
      <w:r>
        <w:rPr>
          <w:rFonts w:hint="eastAsia" w:ascii="仿宋" w:hAnsi="仿宋" w:eastAsia="仿宋"/>
          <w:sz w:val="32"/>
        </w:rPr>
        <w:t>万元，其中：基本支出</w:t>
      </w:r>
      <w:r>
        <w:rPr>
          <w:rFonts w:hint="eastAsia" w:ascii="仿宋" w:hAnsi="仿宋" w:eastAsia="仿宋"/>
          <w:sz w:val="32"/>
          <w:lang w:val="en-US" w:eastAsia="zh-CN"/>
        </w:rPr>
        <w:t>99.88</w:t>
      </w:r>
      <w:r>
        <w:rPr>
          <w:rFonts w:hint="eastAsia" w:ascii="仿宋" w:hAnsi="仿宋" w:eastAsia="仿宋"/>
          <w:sz w:val="32"/>
        </w:rPr>
        <w:t>万元，占</w:t>
      </w:r>
      <w:r>
        <w:rPr>
          <w:rFonts w:hint="eastAsia" w:ascii="仿宋" w:hAnsi="仿宋" w:eastAsia="仿宋"/>
          <w:sz w:val="32"/>
          <w:lang w:val="en-US" w:eastAsia="zh-CN"/>
        </w:rPr>
        <w:t>73.51</w:t>
      </w:r>
      <w:r>
        <w:rPr>
          <w:rFonts w:ascii="仿宋" w:hAnsi="仿宋" w:eastAsia="仿宋"/>
          <w:sz w:val="32"/>
        </w:rPr>
        <w:t>%</w:t>
      </w:r>
      <w:r>
        <w:rPr>
          <w:rFonts w:hint="eastAsia" w:ascii="仿宋" w:hAnsi="仿宋" w:eastAsia="仿宋"/>
          <w:sz w:val="32"/>
        </w:rPr>
        <w:t>；</w:t>
      </w:r>
      <w:r>
        <w:rPr>
          <w:rFonts w:hint="eastAsia" w:ascii="仿宋" w:hAnsi="仿宋" w:eastAsia="仿宋"/>
          <w:sz w:val="32"/>
          <w:lang w:val="en-US" w:eastAsia="zh-CN"/>
        </w:rPr>
        <w:t>项目支出36万元，</w:t>
      </w:r>
      <w:r>
        <w:rPr>
          <w:rFonts w:hint="eastAsia" w:ascii="仿宋" w:hAnsi="仿宋" w:eastAsia="仿宋"/>
          <w:sz w:val="32"/>
        </w:rPr>
        <w:t>占</w:t>
      </w:r>
      <w:r>
        <w:rPr>
          <w:rFonts w:hint="eastAsia" w:ascii="仿宋" w:hAnsi="仿宋" w:eastAsia="仿宋"/>
          <w:sz w:val="32"/>
          <w:lang w:val="en-US" w:eastAsia="zh-CN"/>
        </w:rPr>
        <w:t>26.49</w:t>
      </w:r>
      <w:r>
        <w:rPr>
          <w:rFonts w:ascii="仿宋" w:hAnsi="仿宋" w:eastAsia="仿宋"/>
          <w:sz w:val="32"/>
        </w:rPr>
        <w:t>%</w:t>
      </w:r>
      <w:r>
        <w:rPr>
          <w:rFonts w:hint="eastAsia" w:ascii="仿宋" w:hAnsi="仿宋" w:eastAsia="仿宋"/>
          <w:sz w:val="32"/>
        </w:rPr>
        <w:t>；上缴上级支出</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；经营支出</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；对附属单位支出</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w:t>
      </w:r>
    </w:p>
    <w:p>
      <w:pPr>
        <w:ind w:firstLine="640"/>
        <w:jc w:val="left"/>
        <w:rPr>
          <w:rFonts w:ascii="仿宋" w:hAnsi="仿宋" w:eastAsia="仿宋"/>
          <w:sz w:val="32"/>
        </w:rPr>
      </w:pPr>
      <w:r>
        <w:rPr>
          <w:rFonts w:hint="eastAsia" w:ascii="黑体" w:hAnsi="黑体" w:eastAsia="黑体"/>
          <w:sz w:val="32"/>
        </w:rPr>
        <w:t>四、财政拨款收入支出决算总体情况说明</w:t>
      </w:r>
    </w:p>
    <w:p>
      <w:pPr>
        <w:ind w:firstLine="640"/>
        <w:jc w:val="left"/>
        <w:rPr>
          <w:rFonts w:ascii="仿宋" w:hAnsi="仿宋" w:eastAsia="仿宋"/>
          <w:sz w:val="32"/>
        </w:rPr>
      </w:pPr>
      <w:r>
        <w:rPr>
          <w:rFonts w:ascii="仿宋" w:hAnsi="仿宋" w:eastAsia="仿宋"/>
          <w:sz w:val="32"/>
        </w:rPr>
        <w:t>2018</w:t>
      </w:r>
      <w:r>
        <w:rPr>
          <w:rFonts w:hint="eastAsia" w:ascii="仿宋" w:hAnsi="仿宋" w:eastAsia="仿宋"/>
          <w:sz w:val="32"/>
        </w:rPr>
        <w:t>年财政拨款收、支总计均为</w:t>
      </w:r>
      <w:r>
        <w:rPr>
          <w:rFonts w:ascii="仿宋" w:hAnsi="仿宋" w:eastAsia="仿宋"/>
          <w:sz w:val="32"/>
        </w:rPr>
        <w:t>135.88</w:t>
      </w:r>
      <w:r>
        <w:rPr>
          <w:rFonts w:hint="eastAsia" w:ascii="仿宋" w:hAnsi="仿宋" w:eastAsia="仿宋"/>
          <w:sz w:val="32"/>
        </w:rPr>
        <w:t>万元。与</w:t>
      </w:r>
      <w:r>
        <w:rPr>
          <w:rFonts w:ascii="仿宋" w:hAnsi="仿宋" w:eastAsia="仿宋"/>
          <w:sz w:val="32"/>
        </w:rPr>
        <w:t>2017</w:t>
      </w:r>
      <w:r>
        <w:rPr>
          <w:rFonts w:hint="eastAsia" w:ascii="仿宋" w:hAnsi="仿宋" w:eastAsia="仿宋"/>
          <w:sz w:val="32"/>
        </w:rPr>
        <w:t>年相比，财政拨款收、支总计各减少</w:t>
      </w:r>
      <w:r>
        <w:rPr>
          <w:rFonts w:ascii="仿宋" w:hAnsi="仿宋" w:eastAsia="仿宋"/>
          <w:sz w:val="32"/>
        </w:rPr>
        <w:t>571.59</w:t>
      </w:r>
      <w:r>
        <w:rPr>
          <w:rFonts w:hint="eastAsia" w:ascii="仿宋" w:hAnsi="仿宋" w:eastAsia="仿宋"/>
          <w:sz w:val="32"/>
        </w:rPr>
        <w:t>万元，减少</w:t>
      </w:r>
      <w:r>
        <w:rPr>
          <w:rFonts w:ascii="仿宋" w:hAnsi="仿宋" w:eastAsia="仿宋"/>
          <w:sz w:val="32"/>
        </w:rPr>
        <w:t>520.65%</w:t>
      </w:r>
      <w:r>
        <w:rPr>
          <w:rFonts w:hint="eastAsia" w:ascii="仿宋" w:hAnsi="仿宋" w:eastAsia="仿宋"/>
          <w:sz w:val="32"/>
        </w:rPr>
        <w:t>。主要原因是减少了民生实事“两筛查”工作专项资金。</w:t>
      </w:r>
    </w:p>
    <w:p>
      <w:pPr>
        <w:jc w:val="left"/>
        <w:rPr>
          <w:rFonts w:ascii="仿宋" w:hAnsi="仿宋" w:eastAsia="仿宋"/>
          <w:sz w:val="32"/>
        </w:rPr>
      </w:pPr>
    </w:p>
    <w:p>
      <w:pPr>
        <w:ind w:firstLine="640"/>
        <w:jc w:val="left"/>
        <w:rPr>
          <w:rFonts w:ascii="仿宋" w:hAnsi="仿宋" w:eastAsia="仿宋"/>
          <w:sz w:val="32"/>
        </w:rPr>
      </w:pPr>
      <w:r>
        <w:rPr>
          <w:rFonts w:hint="eastAsia" w:ascii="黑体" w:hAnsi="黑体" w:eastAsia="黑体"/>
          <w:sz w:val="32"/>
        </w:rPr>
        <w:t>五、一般公共预算财政拨款支出决算情况说明</w:t>
      </w:r>
    </w:p>
    <w:p>
      <w:pPr>
        <w:ind w:firstLine="640"/>
        <w:jc w:val="left"/>
        <w:rPr>
          <w:rFonts w:ascii="仿宋" w:hAnsi="仿宋" w:eastAsia="仿宋"/>
          <w:sz w:val="32"/>
        </w:rPr>
      </w:pPr>
      <w:r>
        <w:rPr>
          <w:rFonts w:hint="eastAsia" w:ascii="楷体" w:hAnsi="楷体" w:eastAsia="楷体"/>
          <w:sz w:val="32"/>
        </w:rPr>
        <w:t>（一）总体情况。</w:t>
      </w:r>
    </w:p>
    <w:p>
      <w:pPr>
        <w:ind w:firstLine="640"/>
        <w:jc w:val="left"/>
        <w:rPr>
          <w:rFonts w:ascii="仿宋" w:hAnsi="仿宋" w:eastAsia="仿宋"/>
          <w:sz w:val="32"/>
        </w:rPr>
      </w:pPr>
      <w:r>
        <w:rPr>
          <w:rFonts w:ascii="仿宋" w:hAnsi="仿宋" w:eastAsia="仿宋"/>
          <w:sz w:val="32"/>
        </w:rPr>
        <w:t>2018</w:t>
      </w:r>
      <w:r>
        <w:rPr>
          <w:rFonts w:hint="eastAsia" w:ascii="仿宋" w:hAnsi="仿宋" w:eastAsia="仿宋"/>
          <w:sz w:val="32"/>
        </w:rPr>
        <w:t>年一般公共预算财政拨款支出</w:t>
      </w:r>
      <w:r>
        <w:rPr>
          <w:rFonts w:ascii="仿宋" w:hAnsi="仿宋" w:eastAsia="仿宋"/>
          <w:sz w:val="32"/>
        </w:rPr>
        <w:t>135.88</w:t>
      </w:r>
      <w:r>
        <w:rPr>
          <w:rFonts w:hint="eastAsia" w:ascii="仿宋" w:hAnsi="仿宋" w:eastAsia="仿宋"/>
          <w:sz w:val="32"/>
        </w:rPr>
        <w:t>万元，占支出合计的</w:t>
      </w:r>
      <w:r>
        <w:rPr>
          <w:rFonts w:ascii="仿宋" w:hAnsi="仿宋" w:eastAsia="仿宋"/>
          <w:sz w:val="32"/>
        </w:rPr>
        <w:t>100%</w:t>
      </w:r>
      <w:r>
        <w:rPr>
          <w:rFonts w:hint="eastAsia" w:ascii="仿宋" w:hAnsi="仿宋" w:eastAsia="仿宋"/>
          <w:sz w:val="32"/>
        </w:rPr>
        <w:t>。与</w:t>
      </w:r>
      <w:r>
        <w:rPr>
          <w:rFonts w:ascii="仿宋" w:hAnsi="仿宋" w:eastAsia="仿宋"/>
          <w:sz w:val="32"/>
        </w:rPr>
        <w:t>2017</w:t>
      </w:r>
      <w:r>
        <w:rPr>
          <w:rFonts w:hint="eastAsia" w:ascii="仿宋" w:hAnsi="仿宋" w:eastAsia="仿宋"/>
          <w:sz w:val="32"/>
        </w:rPr>
        <w:t>年相比，一般公共预算财政拨款支出减少</w:t>
      </w:r>
      <w:r>
        <w:rPr>
          <w:rFonts w:ascii="仿宋" w:hAnsi="仿宋" w:eastAsia="仿宋"/>
          <w:sz w:val="32"/>
        </w:rPr>
        <w:t>571.59</w:t>
      </w:r>
      <w:r>
        <w:rPr>
          <w:rFonts w:hint="eastAsia" w:ascii="仿宋" w:hAnsi="仿宋" w:eastAsia="仿宋"/>
          <w:sz w:val="32"/>
        </w:rPr>
        <w:t>万元，减少</w:t>
      </w:r>
      <w:r>
        <w:rPr>
          <w:rFonts w:ascii="仿宋" w:hAnsi="仿宋" w:eastAsia="仿宋"/>
          <w:sz w:val="32"/>
        </w:rPr>
        <w:t>520.65%</w:t>
      </w:r>
      <w:r>
        <w:rPr>
          <w:rFonts w:hint="eastAsia" w:ascii="仿宋" w:hAnsi="仿宋" w:eastAsia="仿宋"/>
          <w:sz w:val="32"/>
        </w:rPr>
        <w:t>。变动的主要原因是减少了生实事“两筛查”工作专项资金。</w:t>
      </w:r>
    </w:p>
    <w:p>
      <w:pPr>
        <w:ind w:firstLine="640"/>
        <w:jc w:val="left"/>
        <w:rPr>
          <w:rFonts w:ascii="仿宋" w:hAnsi="仿宋" w:eastAsia="仿宋"/>
          <w:sz w:val="32"/>
        </w:rPr>
      </w:pPr>
      <w:r>
        <w:rPr>
          <w:rFonts w:hint="eastAsia" w:ascii="楷体" w:hAnsi="楷体" w:eastAsia="楷体"/>
          <w:sz w:val="32"/>
        </w:rPr>
        <w:t>（二）结构情况。</w:t>
      </w:r>
    </w:p>
    <w:p>
      <w:pPr>
        <w:ind w:firstLine="640"/>
        <w:jc w:val="left"/>
        <w:rPr>
          <w:rFonts w:ascii="仿宋" w:hAnsi="仿宋" w:eastAsia="仿宋"/>
          <w:sz w:val="32"/>
        </w:rPr>
      </w:pPr>
      <w:r>
        <w:rPr>
          <w:rFonts w:ascii="仿宋" w:hAnsi="仿宋" w:eastAsia="仿宋"/>
          <w:sz w:val="32"/>
        </w:rPr>
        <w:t>2018</w:t>
      </w:r>
      <w:r>
        <w:rPr>
          <w:rFonts w:hint="eastAsia" w:ascii="仿宋" w:hAnsi="仿宋" w:eastAsia="仿宋"/>
          <w:sz w:val="32"/>
        </w:rPr>
        <w:t>年度一般公共预算财政拨款支出</w:t>
      </w:r>
      <w:r>
        <w:rPr>
          <w:rFonts w:ascii="仿宋" w:hAnsi="仿宋" w:eastAsia="仿宋"/>
          <w:sz w:val="32"/>
        </w:rPr>
        <w:t>135.88</w:t>
      </w:r>
      <w:r>
        <w:rPr>
          <w:rFonts w:hint="eastAsia" w:ascii="仿宋" w:hAnsi="仿宋" w:eastAsia="仿宋"/>
          <w:sz w:val="32"/>
        </w:rPr>
        <w:t>万元，主要用于以下方面：一般公共服务（类）支出</w:t>
      </w:r>
      <w:r>
        <w:rPr>
          <w:rFonts w:ascii="仿宋" w:hAnsi="仿宋" w:eastAsia="仿宋"/>
          <w:sz w:val="32"/>
        </w:rPr>
        <w:t>95.69</w:t>
      </w:r>
      <w:r>
        <w:rPr>
          <w:rFonts w:hint="eastAsia" w:ascii="仿宋" w:hAnsi="仿宋" w:eastAsia="仿宋"/>
          <w:sz w:val="32"/>
        </w:rPr>
        <w:t>万元，占</w:t>
      </w:r>
      <w:r>
        <w:rPr>
          <w:rFonts w:ascii="仿宋" w:hAnsi="仿宋" w:eastAsia="仿宋"/>
          <w:sz w:val="32"/>
        </w:rPr>
        <w:t>70.42%</w:t>
      </w:r>
      <w:r>
        <w:rPr>
          <w:rFonts w:hint="eastAsia" w:ascii="仿宋" w:hAnsi="仿宋" w:eastAsia="仿宋"/>
          <w:sz w:val="32"/>
        </w:rPr>
        <w:t>；社会保障和就业（类）支出</w:t>
      </w:r>
      <w:r>
        <w:rPr>
          <w:rFonts w:ascii="仿宋" w:hAnsi="仿宋" w:eastAsia="仿宋"/>
          <w:sz w:val="32"/>
        </w:rPr>
        <w:t>35.78</w:t>
      </w:r>
      <w:r>
        <w:rPr>
          <w:rFonts w:hint="eastAsia" w:ascii="仿宋" w:hAnsi="仿宋" w:eastAsia="仿宋"/>
          <w:sz w:val="32"/>
        </w:rPr>
        <w:t>万元，占</w:t>
      </w:r>
      <w:r>
        <w:rPr>
          <w:rFonts w:ascii="仿宋" w:hAnsi="仿宋" w:eastAsia="仿宋"/>
          <w:sz w:val="32"/>
        </w:rPr>
        <w:t>26.33%</w:t>
      </w:r>
      <w:r>
        <w:rPr>
          <w:rFonts w:hint="eastAsia" w:ascii="仿宋" w:hAnsi="仿宋" w:eastAsia="仿宋"/>
          <w:sz w:val="32"/>
        </w:rPr>
        <w:t>；医疗卫生和计划生育（类）支出</w:t>
      </w:r>
      <w:r>
        <w:rPr>
          <w:rFonts w:ascii="仿宋" w:hAnsi="仿宋" w:eastAsia="仿宋"/>
          <w:sz w:val="32"/>
        </w:rPr>
        <w:t>2.13</w:t>
      </w:r>
      <w:r>
        <w:rPr>
          <w:rFonts w:hint="eastAsia" w:ascii="仿宋" w:hAnsi="仿宋" w:eastAsia="仿宋"/>
          <w:sz w:val="32"/>
        </w:rPr>
        <w:t>万元，占</w:t>
      </w:r>
      <w:r>
        <w:rPr>
          <w:rFonts w:ascii="仿宋" w:hAnsi="仿宋" w:eastAsia="仿宋"/>
          <w:sz w:val="32"/>
        </w:rPr>
        <w:t>1.56%</w:t>
      </w:r>
      <w:r>
        <w:rPr>
          <w:rFonts w:hint="eastAsia" w:ascii="仿宋" w:hAnsi="仿宋" w:eastAsia="仿宋"/>
          <w:sz w:val="32"/>
        </w:rPr>
        <w:t>；住房保障（类）支出</w:t>
      </w:r>
      <w:r>
        <w:rPr>
          <w:rFonts w:ascii="仿宋" w:hAnsi="仿宋" w:eastAsia="仿宋"/>
          <w:sz w:val="32"/>
        </w:rPr>
        <w:t>2.28</w:t>
      </w:r>
      <w:r>
        <w:rPr>
          <w:rFonts w:hint="eastAsia" w:ascii="仿宋" w:hAnsi="仿宋" w:eastAsia="仿宋"/>
          <w:sz w:val="32"/>
        </w:rPr>
        <w:t>万元，占</w:t>
      </w:r>
      <w:r>
        <w:rPr>
          <w:rFonts w:ascii="仿宋" w:hAnsi="仿宋" w:eastAsia="仿宋"/>
          <w:sz w:val="32"/>
        </w:rPr>
        <w:t>1.67%</w:t>
      </w:r>
      <w:r>
        <w:rPr>
          <w:rFonts w:hint="eastAsia" w:ascii="仿宋" w:hAnsi="仿宋" w:eastAsia="仿宋"/>
          <w:sz w:val="32"/>
        </w:rPr>
        <w:t>。</w:t>
      </w:r>
    </w:p>
    <w:p>
      <w:pPr>
        <w:ind w:firstLine="640"/>
        <w:jc w:val="left"/>
        <w:rPr>
          <w:rFonts w:ascii="仿宋" w:hAnsi="仿宋" w:eastAsia="仿宋"/>
          <w:sz w:val="32"/>
        </w:rPr>
      </w:pPr>
      <w:r>
        <w:rPr>
          <w:rFonts w:hint="eastAsia" w:ascii="楷体" w:hAnsi="楷体" w:eastAsia="楷体"/>
          <w:sz w:val="32"/>
        </w:rPr>
        <w:t>（三）具体情况。</w:t>
      </w:r>
    </w:p>
    <w:p>
      <w:pPr>
        <w:ind w:firstLine="640"/>
        <w:jc w:val="left"/>
        <w:rPr>
          <w:rFonts w:ascii="仿宋" w:hAnsi="仿宋" w:eastAsia="仿宋"/>
          <w:sz w:val="32"/>
        </w:rPr>
      </w:pPr>
      <w:r>
        <w:rPr>
          <w:rFonts w:ascii="仿宋" w:hAnsi="仿宋" w:eastAsia="仿宋"/>
          <w:sz w:val="32"/>
        </w:rPr>
        <w:t>2018</w:t>
      </w:r>
      <w:r>
        <w:rPr>
          <w:rFonts w:hint="eastAsia" w:ascii="仿宋" w:hAnsi="仿宋" w:eastAsia="仿宋"/>
          <w:sz w:val="32"/>
        </w:rPr>
        <w:t>年度一般公共预算财政拨款支出年初预算</w:t>
      </w:r>
      <w:r>
        <w:rPr>
          <w:rFonts w:hint="eastAsia" w:ascii="仿宋" w:hAnsi="仿宋" w:eastAsia="仿宋"/>
          <w:sz w:val="32"/>
          <w:lang w:val="en-US" w:eastAsia="zh-CN"/>
        </w:rPr>
        <w:t>为</w:t>
      </w:r>
      <w:r>
        <w:rPr>
          <w:rFonts w:ascii="仿宋" w:hAnsi="仿宋" w:eastAsia="仿宋"/>
          <w:sz w:val="32"/>
        </w:rPr>
        <w:t>395.66</w:t>
      </w:r>
      <w:r>
        <w:rPr>
          <w:rFonts w:hint="eastAsia" w:ascii="仿宋" w:hAnsi="仿宋" w:eastAsia="仿宋"/>
          <w:sz w:val="32"/>
        </w:rPr>
        <w:t>万元，支出决算为</w:t>
      </w:r>
      <w:r>
        <w:rPr>
          <w:rFonts w:ascii="仿宋" w:hAnsi="仿宋" w:eastAsia="仿宋"/>
          <w:sz w:val="32"/>
        </w:rPr>
        <w:t>135.88</w:t>
      </w:r>
      <w:r>
        <w:rPr>
          <w:rFonts w:hint="eastAsia" w:ascii="仿宋" w:hAnsi="仿宋" w:eastAsia="仿宋"/>
          <w:sz w:val="32"/>
        </w:rPr>
        <w:t>万元，一般公共服务（类）支出</w:t>
      </w:r>
      <w:r>
        <w:rPr>
          <w:rFonts w:ascii="仿宋" w:hAnsi="仿宋" w:eastAsia="仿宋"/>
          <w:sz w:val="32"/>
        </w:rPr>
        <w:t>95.69</w:t>
      </w:r>
      <w:r>
        <w:rPr>
          <w:rFonts w:hint="eastAsia" w:ascii="仿宋" w:hAnsi="仿宋" w:eastAsia="仿宋"/>
          <w:sz w:val="32"/>
        </w:rPr>
        <w:t>万元，占</w:t>
      </w:r>
      <w:r>
        <w:rPr>
          <w:rFonts w:ascii="仿宋" w:hAnsi="仿宋" w:eastAsia="仿宋"/>
          <w:sz w:val="32"/>
        </w:rPr>
        <w:t>70.42%</w:t>
      </w:r>
      <w:r>
        <w:rPr>
          <w:rFonts w:hint="eastAsia" w:ascii="仿宋" w:hAnsi="仿宋" w:eastAsia="仿宋"/>
          <w:sz w:val="32"/>
        </w:rPr>
        <w:t>；社会保障和就业（类）支出</w:t>
      </w:r>
      <w:r>
        <w:rPr>
          <w:rFonts w:ascii="仿宋" w:hAnsi="仿宋" w:eastAsia="仿宋"/>
          <w:sz w:val="32"/>
        </w:rPr>
        <w:t>35.78</w:t>
      </w:r>
      <w:r>
        <w:rPr>
          <w:rFonts w:hint="eastAsia" w:ascii="仿宋" w:hAnsi="仿宋" w:eastAsia="仿宋"/>
          <w:sz w:val="32"/>
        </w:rPr>
        <w:t>万元，占</w:t>
      </w:r>
      <w:r>
        <w:rPr>
          <w:rFonts w:ascii="仿宋" w:hAnsi="仿宋" w:eastAsia="仿宋"/>
          <w:sz w:val="32"/>
        </w:rPr>
        <w:t>26.33%</w:t>
      </w:r>
      <w:r>
        <w:rPr>
          <w:rFonts w:hint="eastAsia" w:ascii="仿宋" w:hAnsi="仿宋" w:eastAsia="仿宋"/>
          <w:sz w:val="32"/>
        </w:rPr>
        <w:t>；医疗卫生和计划生育（类）支出</w:t>
      </w:r>
      <w:r>
        <w:rPr>
          <w:rFonts w:ascii="仿宋" w:hAnsi="仿宋" w:eastAsia="仿宋"/>
          <w:sz w:val="32"/>
        </w:rPr>
        <w:t>2.13</w:t>
      </w:r>
      <w:r>
        <w:rPr>
          <w:rFonts w:hint="eastAsia" w:ascii="仿宋" w:hAnsi="仿宋" w:eastAsia="仿宋"/>
          <w:sz w:val="32"/>
        </w:rPr>
        <w:t>万元，占</w:t>
      </w:r>
      <w:r>
        <w:rPr>
          <w:rFonts w:ascii="仿宋" w:hAnsi="仿宋" w:eastAsia="仿宋"/>
          <w:sz w:val="32"/>
        </w:rPr>
        <w:t>1.56%</w:t>
      </w:r>
      <w:r>
        <w:rPr>
          <w:rFonts w:hint="eastAsia" w:ascii="仿宋" w:hAnsi="仿宋" w:eastAsia="仿宋"/>
          <w:sz w:val="32"/>
        </w:rPr>
        <w:t>；住房保障（类）支出</w:t>
      </w:r>
      <w:r>
        <w:rPr>
          <w:rFonts w:ascii="仿宋" w:hAnsi="仿宋" w:eastAsia="仿宋"/>
          <w:sz w:val="32"/>
        </w:rPr>
        <w:t>2.28</w:t>
      </w:r>
      <w:r>
        <w:rPr>
          <w:rFonts w:hint="eastAsia" w:ascii="仿宋" w:hAnsi="仿宋" w:eastAsia="仿宋"/>
          <w:sz w:val="32"/>
        </w:rPr>
        <w:t>万元，占</w:t>
      </w:r>
      <w:r>
        <w:rPr>
          <w:rFonts w:ascii="仿宋" w:hAnsi="仿宋" w:eastAsia="仿宋"/>
          <w:sz w:val="32"/>
        </w:rPr>
        <w:t>1.67%</w:t>
      </w:r>
      <w:r>
        <w:rPr>
          <w:rFonts w:hint="eastAsia" w:ascii="仿宋" w:hAnsi="仿宋" w:eastAsia="仿宋"/>
          <w:sz w:val="32"/>
        </w:rPr>
        <w:t>。</w:t>
      </w:r>
    </w:p>
    <w:p>
      <w:pPr>
        <w:rPr>
          <w:rFonts w:ascii="仿宋" w:hAnsi="仿宋" w:eastAsia="仿宋"/>
          <w:sz w:val="32"/>
        </w:rPr>
      </w:pPr>
      <w:r>
        <w:rPr>
          <w:rFonts w:hint="eastAsia" w:ascii="仿宋" w:hAnsi="仿宋" w:eastAsia="仿宋"/>
          <w:sz w:val="32"/>
        </w:rPr>
        <w:t>决算数与年初预算数存在差异的主要原因：减少了省民生实事“两筛查”工作专项资金。</w:t>
      </w:r>
    </w:p>
    <w:p>
      <w:pPr>
        <w:ind w:firstLine="640"/>
        <w:jc w:val="left"/>
        <w:rPr>
          <w:rFonts w:ascii="仿宋" w:hAnsi="仿宋" w:eastAsia="仿宋"/>
          <w:sz w:val="32"/>
        </w:rPr>
      </w:pPr>
      <w:r>
        <w:rPr>
          <w:rFonts w:hint="eastAsia" w:ascii="黑体" w:hAnsi="黑体" w:eastAsia="黑体"/>
          <w:sz w:val="32"/>
        </w:rPr>
        <w:t>六、一般公共预算财政拨款基本支出决算情况说明</w:t>
      </w:r>
    </w:p>
    <w:p>
      <w:pPr>
        <w:ind w:firstLine="640"/>
        <w:jc w:val="left"/>
        <w:rPr>
          <w:rFonts w:ascii="仿宋" w:hAnsi="仿宋" w:eastAsia="仿宋"/>
          <w:sz w:val="32"/>
        </w:rPr>
      </w:pPr>
      <w:r>
        <w:rPr>
          <w:rFonts w:ascii="仿宋" w:hAnsi="仿宋" w:eastAsia="仿宋"/>
          <w:sz w:val="32"/>
        </w:rPr>
        <w:t>2018</w:t>
      </w:r>
      <w:r>
        <w:rPr>
          <w:rFonts w:hint="eastAsia" w:ascii="仿宋" w:hAnsi="仿宋" w:eastAsia="仿宋"/>
          <w:sz w:val="32"/>
        </w:rPr>
        <w:t>年一般公共预算财政拨款基本支出</w:t>
      </w:r>
      <w:r>
        <w:rPr>
          <w:rFonts w:hint="eastAsia" w:ascii="仿宋" w:hAnsi="仿宋" w:eastAsia="仿宋"/>
          <w:sz w:val="32"/>
          <w:lang w:val="en-US" w:eastAsia="zh-CN"/>
        </w:rPr>
        <w:t>99.88</w:t>
      </w:r>
      <w:r>
        <w:rPr>
          <w:rFonts w:hint="eastAsia" w:ascii="仿宋" w:hAnsi="仿宋" w:eastAsia="仿宋"/>
          <w:sz w:val="32"/>
        </w:rPr>
        <w:t>万元。与</w:t>
      </w:r>
      <w:r>
        <w:rPr>
          <w:rFonts w:ascii="仿宋" w:hAnsi="仿宋" w:eastAsia="仿宋"/>
          <w:sz w:val="32"/>
        </w:rPr>
        <w:t>2017</w:t>
      </w:r>
      <w:r>
        <w:rPr>
          <w:rFonts w:hint="eastAsia" w:ascii="仿宋" w:hAnsi="仿宋" w:eastAsia="仿宋"/>
          <w:sz w:val="32"/>
        </w:rPr>
        <w:t>年相比，增加</w:t>
      </w:r>
      <w:r>
        <w:rPr>
          <w:rFonts w:ascii="仿宋" w:hAnsi="仿宋" w:eastAsia="仿宋"/>
          <w:sz w:val="32"/>
        </w:rPr>
        <w:t>52.5</w:t>
      </w:r>
      <w:r>
        <w:rPr>
          <w:rFonts w:hint="eastAsia" w:ascii="仿宋" w:hAnsi="仿宋" w:eastAsia="仿宋"/>
          <w:sz w:val="32"/>
        </w:rPr>
        <w:t>万元，增长</w:t>
      </w:r>
      <w:r>
        <w:rPr>
          <w:rFonts w:ascii="仿宋" w:hAnsi="仿宋" w:eastAsia="仿宋"/>
          <w:sz w:val="32"/>
        </w:rPr>
        <w:t>121.55%</w:t>
      </w:r>
      <w:r>
        <w:rPr>
          <w:rFonts w:hint="eastAsia" w:ascii="仿宋" w:hAnsi="仿宋" w:eastAsia="仿宋"/>
          <w:sz w:val="32"/>
        </w:rPr>
        <w:t>。变动的主要原因：其中：人员经费</w:t>
      </w:r>
      <w:r>
        <w:rPr>
          <w:rFonts w:ascii="仿宋" w:hAnsi="仿宋" w:eastAsia="仿宋"/>
          <w:sz w:val="32"/>
        </w:rPr>
        <w:t>42.08</w:t>
      </w:r>
      <w:r>
        <w:rPr>
          <w:rFonts w:hint="eastAsia" w:ascii="仿宋" w:hAnsi="仿宋" w:eastAsia="仿宋"/>
          <w:sz w:val="32"/>
        </w:rPr>
        <w:t>万元，主要包括：基本工资、奖金、生活补助、养老保险、住房公积金；商品和服务支出</w:t>
      </w:r>
      <w:r>
        <w:rPr>
          <w:rFonts w:ascii="仿宋" w:hAnsi="仿宋" w:eastAsia="仿宋"/>
          <w:sz w:val="32"/>
        </w:rPr>
        <w:t>57.8</w:t>
      </w:r>
      <w:r>
        <w:rPr>
          <w:rFonts w:hint="eastAsia" w:ascii="仿宋" w:hAnsi="仿宋" w:eastAsia="仿宋"/>
          <w:sz w:val="32"/>
        </w:rPr>
        <w:t>万元。</w:t>
      </w:r>
      <w:bookmarkStart w:id="0" w:name="_GoBack"/>
      <w:bookmarkEnd w:id="0"/>
    </w:p>
    <w:p>
      <w:pPr>
        <w:ind w:firstLine="640"/>
        <w:jc w:val="left"/>
        <w:rPr>
          <w:rFonts w:ascii="仿宋" w:hAnsi="仿宋" w:eastAsia="仿宋"/>
          <w:sz w:val="32"/>
        </w:rPr>
      </w:pPr>
      <w:r>
        <w:rPr>
          <w:rFonts w:hint="eastAsia" w:ascii="黑体" w:hAnsi="黑体" w:eastAsia="黑体"/>
          <w:sz w:val="32"/>
        </w:rPr>
        <w:t>七、一般公共预算财政拨款“三公”经费支出决算情况说明</w:t>
      </w:r>
    </w:p>
    <w:p>
      <w:pPr>
        <w:ind w:firstLine="640"/>
        <w:jc w:val="left"/>
        <w:rPr>
          <w:rFonts w:ascii="仿宋" w:hAnsi="仿宋" w:eastAsia="仿宋"/>
          <w:sz w:val="32"/>
        </w:rPr>
      </w:pPr>
      <w:r>
        <w:rPr>
          <w:rFonts w:hint="eastAsia" w:ascii="楷体" w:hAnsi="楷体" w:eastAsia="楷体"/>
          <w:sz w:val="32"/>
        </w:rPr>
        <w:t>（一）“三公”经费财政拨款支出决算总体情况说明。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年度“三公”经费财政拨款支出预算为</w:t>
      </w:r>
      <w:r>
        <w:rPr>
          <w:rFonts w:ascii="仿宋" w:hAnsi="仿宋" w:eastAsia="仿宋"/>
          <w:sz w:val="32"/>
        </w:rPr>
        <w:t>0</w:t>
      </w:r>
      <w:r>
        <w:rPr>
          <w:rFonts w:hint="eastAsia" w:ascii="仿宋" w:hAnsi="仿宋" w:eastAsia="仿宋"/>
          <w:sz w:val="32"/>
        </w:rPr>
        <w:t>万元，支出决算为</w:t>
      </w:r>
      <w:r>
        <w:rPr>
          <w:rFonts w:ascii="仿宋" w:hAnsi="仿宋" w:eastAsia="仿宋"/>
          <w:sz w:val="32"/>
        </w:rPr>
        <w:t>0</w:t>
      </w:r>
      <w:r>
        <w:rPr>
          <w:rFonts w:hint="eastAsia" w:ascii="仿宋" w:hAnsi="仿宋" w:eastAsia="仿宋"/>
          <w:sz w:val="32"/>
        </w:rPr>
        <w:t>万元，完成预算的</w:t>
      </w:r>
      <w:r>
        <w:rPr>
          <w:rFonts w:ascii="仿宋" w:hAnsi="仿宋" w:eastAsia="仿宋"/>
          <w:sz w:val="32"/>
        </w:rPr>
        <w:t>0%</w:t>
      </w:r>
      <w:r>
        <w:rPr>
          <w:rFonts w:hint="eastAsia" w:ascii="仿宋" w:hAnsi="仿宋" w:eastAsia="仿宋"/>
          <w:sz w:val="32"/>
        </w:rPr>
        <w:t>。</w:t>
      </w:r>
    </w:p>
    <w:p>
      <w:pPr>
        <w:ind w:firstLine="640"/>
        <w:rPr>
          <w:rFonts w:ascii="仿宋" w:hAnsi="仿宋" w:eastAsia="仿宋"/>
          <w:sz w:val="32"/>
        </w:rPr>
      </w:pPr>
      <w:r>
        <w:rPr>
          <w:rFonts w:hint="eastAsia" w:ascii="楷体" w:hAnsi="楷体" w:eastAsia="楷体"/>
          <w:sz w:val="32"/>
        </w:rPr>
        <w:t>（二）“三公”经费财政拨款支出决算具体情况说明。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年度“三公”经费财政拨款支出决算中，因公出国（境）费支出决算</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，完成预算的</w:t>
      </w:r>
      <w:r>
        <w:rPr>
          <w:rFonts w:ascii="仿宋" w:hAnsi="仿宋" w:eastAsia="仿宋"/>
          <w:sz w:val="32"/>
        </w:rPr>
        <w:t>0%</w:t>
      </w:r>
      <w:r>
        <w:rPr>
          <w:rFonts w:hint="eastAsia" w:ascii="仿宋" w:hAnsi="仿宋" w:eastAsia="仿宋"/>
          <w:sz w:val="32"/>
        </w:rPr>
        <w:t>；公务用车购置及运行费支出决算</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，完成预算的</w:t>
      </w:r>
      <w:r>
        <w:rPr>
          <w:rFonts w:ascii="仿宋" w:hAnsi="仿宋" w:eastAsia="仿宋"/>
          <w:sz w:val="32"/>
        </w:rPr>
        <w:t>0%</w:t>
      </w:r>
      <w:r>
        <w:rPr>
          <w:rFonts w:hint="eastAsia" w:ascii="仿宋" w:hAnsi="仿宋" w:eastAsia="仿宋"/>
          <w:sz w:val="32"/>
        </w:rPr>
        <w:t>；公务接待费支出决算</w:t>
      </w:r>
      <w:r>
        <w:rPr>
          <w:rFonts w:ascii="仿宋" w:hAnsi="仿宋" w:eastAsia="仿宋"/>
          <w:sz w:val="32"/>
        </w:rPr>
        <w:t>0</w:t>
      </w:r>
      <w:r>
        <w:rPr>
          <w:rFonts w:hint="eastAsia" w:ascii="仿宋" w:hAnsi="仿宋" w:eastAsia="仿宋"/>
          <w:sz w:val="32"/>
        </w:rPr>
        <w:t>万元，占</w:t>
      </w:r>
      <w:r>
        <w:rPr>
          <w:rFonts w:ascii="仿宋" w:hAnsi="仿宋" w:eastAsia="仿宋"/>
          <w:sz w:val="32"/>
        </w:rPr>
        <w:t>0%</w:t>
      </w:r>
      <w:r>
        <w:rPr>
          <w:rFonts w:hint="eastAsia" w:ascii="仿宋" w:hAnsi="仿宋" w:eastAsia="仿宋"/>
          <w:sz w:val="32"/>
        </w:rPr>
        <w:t>，完成预算的</w:t>
      </w:r>
      <w:r>
        <w:rPr>
          <w:rFonts w:ascii="仿宋" w:hAnsi="仿宋" w:eastAsia="仿宋"/>
          <w:sz w:val="32"/>
        </w:rPr>
        <w:t>0%</w:t>
      </w:r>
      <w:r>
        <w:rPr>
          <w:rFonts w:hint="eastAsia" w:ascii="仿宋" w:hAnsi="仿宋" w:eastAsia="仿宋"/>
          <w:sz w:val="32"/>
        </w:rPr>
        <w:t>。具体情况如下：</w:t>
      </w:r>
    </w:p>
    <w:p>
      <w:pPr>
        <w:ind w:firstLine="640"/>
        <w:jc w:val="left"/>
        <w:rPr>
          <w:rFonts w:ascii="仿宋" w:hAnsi="仿宋" w:eastAsia="仿宋"/>
          <w:sz w:val="32"/>
        </w:rPr>
      </w:pPr>
      <w:r>
        <w:rPr>
          <w:rFonts w:ascii="仿宋" w:hAnsi="仿宋" w:eastAsia="仿宋"/>
          <w:sz w:val="32"/>
        </w:rPr>
        <w:t>1</w:t>
      </w:r>
      <w:r>
        <w:rPr>
          <w:rFonts w:hint="eastAsia" w:ascii="仿宋" w:hAnsi="仿宋" w:eastAsia="仿宋"/>
          <w:sz w:val="32"/>
        </w:rPr>
        <w:t>．因公出国（境）费支出</w:t>
      </w:r>
      <w:r>
        <w:rPr>
          <w:rFonts w:ascii="仿宋" w:hAnsi="仿宋" w:eastAsia="仿宋"/>
          <w:sz w:val="32"/>
        </w:rPr>
        <w:t>0</w:t>
      </w:r>
      <w:r>
        <w:rPr>
          <w:rFonts w:hint="eastAsia" w:ascii="仿宋" w:hAnsi="仿宋" w:eastAsia="仿宋"/>
          <w:sz w:val="32"/>
        </w:rPr>
        <w:t>万元。</w:t>
      </w:r>
    </w:p>
    <w:p>
      <w:pPr>
        <w:ind w:firstLine="640"/>
        <w:jc w:val="left"/>
        <w:rPr>
          <w:rFonts w:ascii="仿宋" w:hAnsi="仿宋" w:eastAsia="仿宋"/>
          <w:sz w:val="32"/>
        </w:rPr>
      </w:pPr>
      <w:r>
        <w:rPr>
          <w:rFonts w:ascii="仿宋" w:hAnsi="仿宋" w:eastAsia="仿宋"/>
          <w:sz w:val="32"/>
        </w:rPr>
        <w:t>2</w:t>
      </w:r>
      <w:r>
        <w:rPr>
          <w:rFonts w:hint="eastAsia" w:ascii="仿宋" w:hAnsi="仿宋" w:eastAsia="仿宋"/>
          <w:sz w:val="32"/>
        </w:rPr>
        <w:t>．公务用车购置及运行费支出</w:t>
      </w:r>
      <w:r>
        <w:rPr>
          <w:rFonts w:ascii="仿宋" w:hAnsi="仿宋" w:eastAsia="仿宋"/>
          <w:sz w:val="32"/>
        </w:rPr>
        <w:t>0</w:t>
      </w:r>
      <w:r>
        <w:rPr>
          <w:rFonts w:hint="eastAsia" w:ascii="仿宋" w:hAnsi="仿宋" w:eastAsia="仿宋"/>
          <w:sz w:val="32"/>
        </w:rPr>
        <w:t>万元。其中：</w:t>
      </w:r>
    </w:p>
    <w:p>
      <w:pPr>
        <w:ind w:firstLine="960" w:firstLineChars="300"/>
        <w:jc w:val="left"/>
        <w:rPr>
          <w:rFonts w:ascii="仿宋" w:hAnsi="仿宋" w:eastAsia="仿宋"/>
          <w:sz w:val="32"/>
        </w:rPr>
      </w:pPr>
      <w:r>
        <w:rPr>
          <w:rFonts w:hint="eastAsia" w:ascii="仿宋" w:hAnsi="仿宋" w:eastAsia="仿宋"/>
          <w:sz w:val="32"/>
        </w:rPr>
        <w:t>公务用车购置支出为</w:t>
      </w:r>
      <w:r>
        <w:rPr>
          <w:rFonts w:ascii="仿宋" w:hAnsi="仿宋" w:eastAsia="仿宋"/>
          <w:sz w:val="32"/>
        </w:rPr>
        <w:t>0</w:t>
      </w:r>
      <w:r>
        <w:rPr>
          <w:rFonts w:hint="eastAsia" w:ascii="仿宋" w:hAnsi="仿宋" w:eastAsia="仿宋"/>
          <w:sz w:val="32"/>
        </w:rPr>
        <w:t>万元。</w:t>
      </w:r>
    </w:p>
    <w:p>
      <w:pPr>
        <w:numPr>
          <w:ilvl w:val="0"/>
          <w:numId w:val="1"/>
        </w:numPr>
        <w:ind w:firstLine="640"/>
        <w:jc w:val="left"/>
        <w:rPr>
          <w:rFonts w:ascii="仿宋" w:hAnsi="仿宋" w:eastAsia="仿宋"/>
          <w:sz w:val="32"/>
        </w:rPr>
      </w:pPr>
      <w:r>
        <w:rPr>
          <w:rFonts w:hint="eastAsia" w:ascii="仿宋" w:hAnsi="仿宋" w:eastAsia="仿宋"/>
          <w:sz w:val="32"/>
        </w:rPr>
        <w:t>公务接待费支出</w:t>
      </w:r>
      <w:r>
        <w:rPr>
          <w:rFonts w:ascii="仿宋" w:hAnsi="仿宋" w:eastAsia="仿宋"/>
          <w:sz w:val="32"/>
        </w:rPr>
        <w:t>0</w:t>
      </w:r>
      <w:r>
        <w:rPr>
          <w:rFonts w:hint="eastAsia" w:ascii="仿宋" w:hAnsi="仿宋" w:eastAsia="仿宋"/>
          <w:sz w:val="32"/>
        </w:rPr>
        <w:t>万元。</w:t>
      </w:r>
    </w:p>
    <w:p>
      <w:pPr>
        <w:ind w:firstLine="640" w:firstLineChars="200"/>
        <w:jc w:val="left"/>
        <w:rPr>
          <w:rFonts w:ascii="仿宋" w:hAnsi="仿宋" w:eastAsia="仿宋"/>
          <w:sz w:val="32"/>
        </w:rPr>
      </w:pPr>
      <w:r>
        <w:rPr>
          <w:rFonts w:hint="eastAsia" w:ascii="黑体" w:hAnsi="黑体" w:eastAsia="黑体"/>
          <w:sz w:val="32"/>
        </w:rPr>
        <w:t>八、预算绩效情况说明</w:t>
      </w:r>
    </w:p>
    <w:p>
      <w:pPr>
        <w:ind w:firstLine="640"/>
        <w:jc w:val="left"/>
        <w:rPr>
          <w:rFonts w:ascii="楷体" w:hAnsi="楷体" w:eastAsia="楷体"/>
          <w:sz w:val="32"/>
        </w:rPr>
      </w:pPr>
      <w:r>
        <w:rPr>
          <w:rFonts w:hint="eastAsia" w:ascii="楷体" w:hAnsi="楷体" w:eastAsia="楷体"/>
          <w:sz w:val="32"/>
        </w:rPr>
        <w:t>（一）绩效管理工作开展情况。</w:t>
      </w:r>
    </w:p>
    <w:p>
      <w:pPr>
        <w:ind w:firstLine="640"/>
        <w:jc w:val="left"/>
        <w:rPr>
          <w:rFonts w:ascii="楷体" w:hAnsi="楷体" w:eastAsia="楷体"/>
          <w:sz w:val="32"/>
        </w:rPr>
      </w:pPr>
      <w:r>
        <w:rPr>
          <w:rFonts w:ascii="楷体" w:hAnsi="楷体" w:eastAsia="楷体"/>
          <w:sz w:val="32"/>
        </w:rPr>
        <w:t>1</w:t>
      </w:r>
      <w:r>
        <w:rPr>
          <w:rFonts w:hint="eastAsia" w:ascii="楷体" w:hAnsi="楷体" w:eastAsia="楷体"/>
          <w:sz w:val="32"/>
        </w:rPr>
        <w:t>、加强管理制度建设。</w:t>
      </w:r>
    </w:p>
    <w:p>
      <w:pPr>
        <w:ind w:firstLine="640"/>
        <w:jc w:val="left"/>
        <w:rPr>
          <w:rFonts w:ascii="楷体" w:hAnsi="楷体" w:eastAsia="楷体"/>
          <w:sz w:val="32"/>
        </w:rPr>
      </w:pPr>
      <w:r>
        <w:rPr>
          <w:rFonts w:ascii="楷体" w:hAnsi="楷体" w:eastAsia="楷体"/>
          <w:sz w:val="32"/>
        </w:rPr>
        <w:t>2</w:t>
      </w:r>
      <w:r>
        <w:rPr>
          <w:rFonts w:hint="eastAsia" w:ascii="楷体" w:hAnsi="楷体" w:eastAsia="楷体"/>
          <w:sz w:val="32"/>
        </w:rPr>
        <w:t>、加强预算编制绩效管理。</w:t>
      </w:r>
    </w:p>
    <w:p>
      <w:pPr>
        <w:ind w:firstLine="640"/>
        <w:jc w:val="left"/>
        <w:rPr>
          <w:rFonts w:ascii="楷体" w:hAnsi="楷体" w:eastAsia="楷体"/>
          <w:sz w:val="32"/>
        </w:rPr>
      </w:pPr>
      <w:r>
        <w:rPr>
          <w:rFonts w:ascii="楷体" w:hAnsi="楷体" w:eastAsia="楷体"/>
          <w:sz w:val="32"/>
        </w:rPr>
        <w:t>3</w:t>
      </w:r>
      <w:r>
        <w:rPr>
          <w:rFonts w:hint="eastAsia" w:ascii="楷体" w:hAnsi="楷体" w:eastAsia="楷体"/>
          <w:sz w:val="32"/>
        </w:rPr>
        <w:t>、完善项目绩效管理责任。</w:t>
      </w:r>
    </w:p>
    <w:p>
      <w:pPr>
        <w:ind w:firstLine="640"/>
        <w:jc w:val="left"/>
        <w:rPr>
          <w:rFonts w:ascii="楷体" w:hAnsi="楷体" w:eastAsia="楷体"/>
          <w:sz w:val="32"/>
        </w:rPr>
      </w:pPr>
      <w:r>
        <w:rPr>
          <w:rFonts w:hint="eastAsia" w:ascii="楷体" w:hAnsi="楷体" w:eastAsia="楷体"/>
          <w:sz w:val="32"/>
        </w:rPr>
        <w:t>（二）项目绩效自评结果。</w:t>
      </w:r>
    </w:p>
    <w:p>
      <w:pPr>
        <w:ind w:firstLine="640"/>
        <w:jc w:val="left"/>
        <w:rPr>
          <w:rFonts w:ascii="楷体" w:hAnsi="楷体" w:eastAsia="楷体"/>
          <w:sz w:val="32"/>
        </w:rPr>
      </w:pPr>
      <w:r>
        <w:rPr>
          <w:rFonts w:hint="eastAsia" w:ascii="楷体" w:hAnsi="楷体" w:eastAsia="楷体"/>
          <w:sz w:val="32"/>
        </w:rPr>
        <w:t>项目资金使用绩效良好，按照规定指出，取得预期成效。</w:t>
      </w:r>
    </w:p>
    <w:p>
      <w:pPr>
        <w:ind w:firstLine="640"/>
        <w:jc w:val="left"/>
        <w:rPr>
          <w:rFonts w:ascii="仿宋" w:hAnsi="仿宋" w:eastAsia="仿宋"/>
          <w:sz w:val="32"/>
        </w:rPr>
      </w:pPr>
      <w:r>
        <w:rPr>
          <w:rFonts w:hint="eastAsia" w:ascii="黑体" w:hAnsi="黑体" w:eastAsia="黑体"/>
          <w:sz w:val="32"/>
        </w:rPr>
        <w:t>九、政府性基金预算财政拨款支出决算情况说明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年度政府性基金预算财政拨款支出年初预算为</w:t>
      </w:r>
      <w:r>
        <w:rPr>
          <w:rFonts w:ascii="仿宋" w:hAnsi="仿宋" w:eastAsia="仿宋"/>
          <w:sz w:val="32"/>
        </w:rPr>
        <w:t>347.59</w:t>
      </w:r>
      <w:r>
        <w:rPr>
          <w:rFonts w:hint="eastAsia" w:ascii="仿宋" w:hAnsi="仿宋" w:eastAsia="仿宋"/>
          <w:sz w:val="32"/>
        </w:rPr>
        <w:t>万元，支出决算为</w:t>
      </w:r>
      <w:r>
        <w:rPr>
          <w:rFonts w:ascii="仿宋" w:hAnsi="仿宋" w:eastAsia="仿宋"/>
          <w:sz w:val="32"/>
        </w:rPr>
        <w:t>0</w:t>
      </w:r>
      <w:r>
        <w:rPr>
          <w:rFonts w:hint="eastAsia" w:ascii="仿宋" w:hAnsi="仿宋" w:eastAsia="仿宋"/>
          <w:sz w:val="32"/>
        </w:rPr>
        <w:t>万元，完成年初预算的</w:t>
      </w:r>
      <w:r>
        <w:rPr>
          <w:rFonts w:ascii="仿宋" w:hAnsi="仿宋" w:eastAsia="仿宋"/>
          <w:sz w:val="32"/>
        </w:rPr>
        <w:t>0%</w:t>
      </w:r>
      <w:r>
        <w:rPr>
          <w:rFonts w:hint="eastAsia" w:ascii="仿宋" w:hAnsi="仿宋" w:eastAsia="仿宋"/>
          <w:sz w:val="32"/>
        </w:rPr>
        <w:t>，市财政收回此资金。</w:t>
      </w:r>
    </w:p>
    <w:p>
      <w:pPr>
        <w:ind w:firstLine="640"/>
        <w:jc w:val="left"/>
        <w:rPr>
          <w:rFonts w:ascii="仿宋" w:hAnsi="仿宋" w:eastAsia="仿宋"/>
          <w:sz w:val="32"/>
        </w:rPr>
      </w:pPr>
      <w:r>
        <w:rPr>
          <w:rFonts w:hint="eastAsia" w:ascii="黑体" w:hAnsi="黑体" w:eastAsia="黑体"/>
          <w:sz w:val="32"/>
        </w:rPr>
        <w:t>十、机关运行经费支出情况说明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年度机关运行经费支出</w:t>
      </w:r>
      <w:r>
        <w:rPr>
          <w:rFonts w:ascii="仿宋" w:hAnsi="仿宋" w:eastAsia="仿宋"/>
          <w:sz w:val="32"/>
        </w:rPr>
        <w:t>4.8</w:t>
      </w:r>
      <w:r>
        <w:rPr>
          <w:rFonts w:hint="eastAsia" w:ascii="仿宋" w:hAnsi="仿宋" w:eastAsia="仿宋"/>
          <w:sz w:val="32"/>
        </w:rPr>
        <w:t>万元，较</w:t>
      </w:r>
      <w:r>
        <w:rPr>
          <w:rFonts w:ascii="仿宋" w:hAnsi="仿宋" w:eastAsia="仿宋"/>
          <w:sz w:val="32"/>
        </w:rPr>
        <w:t>2017</w:t>
      </w:r>
      <w:r>
        <w:rPr>
          <w:rFonts w:hint="eastAsia" w:ascii="仿宋" w:hAnsi="仿宋" w:eastAsia="仿宋"/>
          <w:sz w:val="32"/>
        </w:rPr>
        <w:t>年度减少</w:t>
      </w:r>
      <w:r>
        <w:rPr>
          <w:rFonts w:ascii="仿宋" w:hAnsi="仿宋" w:eastAsia="仿宋"/>
          <w:sz w:val="32"/>
        </w:rPr>
        <w:t>0.39</w:t>
      </w:r>
      <w:r>
        <w:rPr>
          <w:rFonts w:hint="eastAsia" w:ascii="仿宋" w:hAnsi="仿宋" w:eastAsia="仿宋"/>
          <w:sz w:val="32"/>
        </w:rPr>
        <w:t>万元，下降</w:t>
      </w:r>
      <w:r>
        <w:rPr>
          <w:rFonts w:ascii="仿宋" w:hAnsi="仿宋" w:eastAsia="仿宋"/>
          <w:sz w:val="32"/>
        </w:rPr>
        <w:t>7.51%</w:t>
      </w:r>
      <w:r>
        <w:rPr>
          <w:rFonts w:hint="eastAsia" w:ascii="仿宋" w:hAnsi="仿宋" w:eastAsia="仿宋"/>
          <w:sz w:val="32"/>
        </w:rPr>
        <w:t>。减少的主要原因是控制经费的支出。</w:t>
      </w:r>
    </w:p>
    <w:p>
      <w:pPr>
        <w:ind w:firstLine="640"/>
        <w:jc w:val="left"/>
        <w:rPr>
          <w:rFonts w:ascii="仿宋" w:hAnsi="仿宋" w:eastAsia="仿宋"/>
          <w:sz w:val="32"/>
        </w:rPr>
      </w:pPr>
      <w:r>
        <w:rPr>
          <w:rFonts w:hint="eastAsia" w:ascii="黑体" w:hAnsi="黑体" w:eastAsia="黑体"/>
          <w:sz w:val="32"/>
        </w:rPr>
        <w:t>十一、政府采购支出情况说明</w:t>
      </w:r>
    </w:p>
    <w:p>
      <w:pPr>
        <w:ind w:firstLine="640"/>
        <w:rPr>
          <w:rFonts w:ascii="仿宋" w:hAnsi="仿宋" w:eastAsia="仿宋"/>
          <w:sz w:val="32"/>
        </w:rPr>
      </w:pPr>
      <w:r>
        <w:rPr>
          <w:rFonts w:ascii="仿宋" w:hAnsi="仿宋" w:eastAsia="仿宋"/>
          <w:sz w:val="32"/>
        </w:rPr>
        <w:t>2018</w:t>
      </w:r>
      <w:r>
        <w:rPr>
          <w:rFonts w:hint="eastAsia" w:ascii="仿宋" w:hAnsi="仿宋" w:eastAsia="仿宋"/>
          <w:sz w:val="32"/>
        </w:rPr>
        <w:t>年度政府采购支出总额</w:t>
      </w:r>
      <w:r>
        <w:rPr>
          <w:rFonts w:ascii="仿宋" w:hAnsi="仿宋" w:eastAsia="仿宋"/>
          <w:sz w:val="32"/>
        </w:rPr>
        <w:t>0</w:t>
      </w:r>
      <w:r>
        <w:rPr>
          <w:rFonts w:hint="eastAsia" w:ascii="仿宋" w:hAnsi="仿宋" w:eastAsia="仿宋"/>
          <w:sz w:val="32"/>
        </w:rPr>
        <w:t>万元，其中：政府采购货物支出</w:t>
      </w:r>
      <w:r>
        <w:rPr>
          <w:rFonts w:ascii="仿宋" w:hAnsi="仿宋" w:eastAsia="仿宋"/>
          <w:sz w:val="32"/>
        </w:rPr>
        <w:t>0</w:t>
      </w:r>
      <w:r>
        <w:rPr>
          <w:rFonts w:hint="eastAsia" w:ascii="仿宋" w:hAnsi="仿宋" w:eastAsia="仿宋"/>
          <w:sz w:val="32"/>
        </w:rPr>
        <w:t>万元，政府采购工程支出</w:t>
      </w:r>
      <w:r>
        <w:rPr>
          <w:rFonts w:ascii="仿宋" w:hAnsi="仿宋" w:eastAsia="仿宋"/>
          <w:sz w:val="32"/>
        </w:rPr>
        <w:t>0</w:t>
      </w:r>
      <w:r>
        <w:rPr>
          <w:rFonts w:hint="eastAsia" w:ascii="仿宋" w:hAnsi="仿宋" w:eastAsia="仿宋"/>
          <w:sz w:val="32"/>
        </w:rPr>
        <w:t>万元，政府采购服务支出</w:t>
      </w:r>
      <w:r>
        <w:rPr>
          <w:rFonts w:ascii="仿宋" w:hAnsi="仿宋" w:eastAsia="仿宋"/>
          <w:sz w:val="32"/>
        </w:rPr>
        <w:t>0</w:t>
      </w:r>
      <w:r>
        <w:rPr>
          <w:rFonts w:hint="eastAsia" w:ascii="仿宋" w:hAnsi="仿宋" w:eastAsia="仿宋"/>
          <w:sz w:val="32"/>
        </w:rPr>
        <w:t>万元。</w:t>
      </w:r>
    </w:p>
    <w:p>
      <w:pPr>
        <w:ind w:firstLine="640"/>
        <w:jc w:val="left"/>
        <w:rPr>
          <w:rFonts w:ascii="仿宋" w:hAnsi="仿宋" w:eastAsia="仿宋"/>
          <w:sz w:val="32"/>
        </w:rPr>
      </w:pPr>
      <w:r>
        <w:rPr>
          <w:rFonts w:hint="eastAsia" w:ascii="黑体" w:hAnsi="黑体" w:eastAsia="黑体"/>
          <w:sz w:val="32"/>
        </w:rPr>
        <w:t>十二、国有资产占用情况说明</w:t>
      </w:r>
    </w:p>
    <w:p>
      <w:pPr>
        <w:ind w:firstLine="640"/>
        <w:jc w:val="left"/>
        <w:rPr>
          <w:rFonts w:hint="eastAsia" w:ascii="仿宋" w:hAnsi="仿宋" w:eastAsia="仿宋"/>
          <w:sz w:val="32"/>
        </w:rPr>
      </w:pPr>
      <w:r>
        <w:rPr>
          <w:rFonts w:ascii="仿宋" w:hAnsi="仿宋" w:eastAsia="仿宋"/>
          <w:sz w:val="32"/>
        </w:rPr>
        <w:t>2018</w:t>
      </w:r>
      <w:r>
        <w:rPr>
          <w:rFonts w:hint="eastAsia" w:ascii="仿宋" w:hAnsi="仿宋" w:eastAsia="仿宋"/>
          <w:sz w:val="32"/>
        </w:rPr>
        <w:t>年期末，河南省周口市项城市妇联共有车辆</w:t>
      </w:r>
      <w:r>
        <w:rPr>
          <w:rFonts w:ascii="仿宋" w:hAnsi="仿宋" w:eastAsia="仿宋"/>
          <w:sz w:val="32"/>
        </w:rPr>
        <w:t>0</w:t>
      </w:r>
      <w:r>
        <w:rPr>
          <w:rFonts w:hint="eastAsia" w:ascii="仿宋" w:hAnsi="仿宋" w:eastAsia="仿宋"/>
          <w:sz w:val="32"/>
        </w:rPr>
        <w:t>辆。</w:t>
      </w:r>
    </w:p>
    <w:p>
      <w:pPr>
        <w:numPr>
          <w:ilvl w:val="0"/>
          <w:numId w:val="0"/>
        </w:numPr>
        <w:spacing w:beforeLines="0" w:afterLines="0"/>
        <w:ind w:firstLine="640" w:firstLineChars="200"/>
        <w:jc w:val="left"/>
        <w:rPr>
          <w:rFonts w:hint="eastAsia" w:ascii="仿宋" w:hAnsi="仿宋" w:eastAsia="仿宋"/>
          <w:sz w:val="32"/>
        </w:rPr>
      </w:pPr>
      <w:r>
        <w:rPr>
          <w:rFonts w:hint="eastAsia" w:ascii="黑体" w:hAnsi="黑体" w:eastAsia="黑体" w:cs="黑体"/>
          <w:sz w:val="32"/>
          <w:lang w:eastAsia="zh-CN"/>
        </w:rPr>
        <w:t>十三、</w:t>
      </w:r>
      <w:r>
        <w:rPr>
          <w:rFonts w:hint="eastAsia" w:ascii="黑体" w:hAnsi="黑体" w:eastAsia="黑体" w:cs="黑体"/>
          <w:sz w:val="32"/>
        </w:rPr>
        <w:t>重点项目预算的绩效目标等预算绩效情况说明</w:t>
      </w:r>
      <w:r>
        <w:rPr>
          <w:rFonts w:hint="eastAsia" w:ascii="仿宋" w:hAnsi="仿宋" w:eastAsia="仿宋"/>
          <w:sz w:val="32"/>
        </w:rPr>
        <w:t xml:space="preserve">   </w:t>
      </w:r>
    </w:p>
    <w:p>
      <w:pPr>
        <w:numPr>
          <w:ilvl w:val="0"/>
          <w:numId w:val="0"/>
        </w:numPr>
        <w:spacing w:beforeLines="0" w:afterLines="0"/>
        <w:ind w:firstLine="640" w:firstLineChars="200"/>
        <w:jc w:val="left"/>
        <w:rPr>
          <w:rFonts w:hint="eastAsia" w:ascii="仿宋" w:hAnsi="仿宋" w:eastAsia="仿宋"/>
          <w:sz w:val="32"/>
        </w:rPr>
      </w:pPr>
      <w:r>
        <w:rPr>
          <w:rFonts w:hint="eastAsia" w:ascii="仿宋" w:hAnsi="仿宋" w:eastAsia="仿宋"/>
          <w:sz w:val="32"/>
        </w:rPr>
        <w:t>201</w:t>
      </w:r>
      <w:r>
        <w:rPr>
          <w:rFonts w:hint="eastAsia" w:ascii="仿宋" w:hAnsi="仿宋" w:eastAsia="仿宋"/>
          <w:sz w:val="32"/>
          <w:lang w:val="en-US" w:eastAsia="zh-CN"/>
        </w:rPr>
        <w:t>8</w:t>
      </w:r>
      <w:r>
        <w:rPr>
          <w:rFonts w:hint="eastAsia" w:ascii="仿宋" w:hAnsi="仿宋" w:eastAsia="仿宋"/>
          <w:sz w:val="32"/>
        </w:rPr>
        <w:t>年度，本单位没有民生项目和重点支出项目，未开展预算绩效评价</w:t>
      </w:r>
      <w:r>
        <w:rPr>
          <w:rFonts w:hint="eastAsia" w:ascii="仿宋" w:hAnsi="仿宋" w:eastAsia="仿宋"/>
          <w:sz w:val="32"/>
          <w:lang w:eastAsia="zh-CN"/>
        </w:rPr>
        <w:t>。</w:t>
      </w:r>
    </w:p>
    <w:p>
      <w:pPr>
        <w:spacing w:beforeLines="0" w:afterLines="0"/>
        <w:jc w:val="left"/>
        <w:rPr>
          <w:rFonts w:hint="eastAsia" w:ascii="仿宋" w:hAnsi="仿宋" w:eastAsia="仿宋"/>
          <w:sz w:val="32"/>
        </w:rPr>
      </w:pPr>
      <w:r>
        <w:rPr>
          <w:rFonts w:hint="eastAsia" w:ascii="仿宋" w:hAnsi="仿宋" w:eastAsia="仿宋"/>
          <w:sz w:val="32"/>
        </w:rPr>
        <w:t xml:space="preserve">    </w:t>
      </w:r>
      <w:r>
        <w:rPr>
          <w:rFonts w:hint="eastAsia" w:ascii="黑体" w:hAnsi="黑体" w:eastAsia="黑体"/>
          <w:sz w:val="32"/>
        </w:rPr>
        <w:t>十</w:t>
      </w:r>
      <w:r>
        <w:rPr>
          <w:rFonts w:hint="eastAsia" w:ascii="黑体" w:hAnsi="黑体" w:eastAsia="黑体"/>
          <w:sz w:val="32"/>
          <w:lang w:eastAsia="zh-CN"/>
        </w:rPr>
        <w:t>四</w:t>
      </w:r>
      <w:r>
        <w:rPr>
          <w:rFonts w:hint="eastAsia" w:ascii="黑体" w:hAnsi="黑体" w:eastAsia="黑体"/>
          <w:sz w:val="32"/>
        </w:rPr>
        <w:t>、其他重要事项的情况说明</w:t>
      </w:r>
    </w:p>
    <w:p>
      <w:pPr>
        <w:widowControl/>
        <w:ind w:firstLine="640" w:firstLineChars="200"/>
        <w:jc w:val="left"/>
        <w:rPr>
          <w:rFonts w:hint="eastAsia" w:ascii="楷体_GB2312" w:hAnsi="楷体_GB2312" w:eastAsia="楷体_GB2312" w:cs="楷体_GB2312"/>
          <w:color w:val="auto"/>
          <w:sz w:val="32"/>
          <w:szCs w:val="32"/>
          <w:highlight w:val="none"/>
          <w:lang w:val="en-US" w:eastAsia="zh-CN"/>
        </w:rPr>
        <w:sectPr>
          <w:pgSz w:w="11906" w:h="16838"/>
          <w:pgMar w:top="1440" w:right="1800" w:bottom="1440" w:left="1800" w:header="720" w:footer="720" w:gutter="0"/>
          <w:pgNumType w:fmt="numberInDash"/>
          <w:cols w:space="720" w:num="1"/>
          <w:docGrid w:type="lines" w:linePitch="312" w:charSpace="0"/>
        </w:sectPr>
      </w:pPr>
      <w:r>
        <w:rPr>
          <w:rFonts w:hint="eastAsia" w:ascii="楷体_GB2312" w:hAnsi="楷体_GB2312" w:eastAsia="楷体_GB2312" w:cs="楷体_GB2312"/>
          <w:color w:val="auto"/>
          <w:sz w:val="32"/>
          <w:szCs w:val="32"/>
          <w:highlight w:val="none"/>
          <w:lang w:val="en-US" w:eastAsia="zh-CN"/>
        </w:rPr>
        <w:t>无</w:t>
      </w:r>
    </w:p>
    <w:p>
      <w:pPr>
        <w:ind w:firstLine="640"/>
        <w:jc w:val="left"/>
        <w:rPr>
          <w:rFonts w:hint="eastAsia" w:ascii="仿宋" w:hAnsi="仿宋" w:eastAsia="仿宋"/>
          <w:sz w:val="32"/>
        </w:rPr>
      </w:pPr>
    </w:p>
    <w:p>
      <w:pPr>
        <w:rPr>
          <w:rFonts w:ascii="Times New Roman" w:hAnsi="Times New Roman"/>
        </w:rPr>
      </w:pPr>
    </w:p>
    <w:p>
      <w:pPr>
        <w:jc w:val="left"/>
        <w:rPr>
          <w:rFonts w:ascii="宋体"/>
          <w:kern w:val="0"/>
          <w:sz w:val="18"/>
          <w:lang w:val="zh-CN"/>
        </w:rPr>
      </w:pPr>
    </w:p>
    <w:p/>
    <w:p/>
    <w:p/>
    <w:p/>
    <w:p/>
    <w:p/>
    <w:p/>
    <w:p>
      <w:pPr>
        <w:shd w:val="clear" w:color="auto" w:fill="FFFFFF"/>
        <w:spacing w:beforeAutospacing="1" w:afterAutospacing="1" w:line="270" w:lineRule="atLeast"/>
        <w:ind w:right="521"/>
        <w:jc w:val="center"/>
        <w:rPr>
          <w:b/>
          <w:bCs/>
          <w:sz w:val="48"/>
          <w:szCs w:val="48"/>
        </w:rPr>
      </w:pPr>
      <w:r>
        <w:rPr>
          <w:rFonts w:hint="eastAsia" w:ascii="黑体" w:hAnsi="黑体" w:eastAsia="黑体" w:cs="黑体"/>
          <w:b/>
          <w:bCs/>
          <w:color w:val="666666"/>
          <w:kern w:val="0"/>
          <w:sz w:val="48"/>
          <w:szCs w:val="48"/>
          <w:shd w:val="clear" w:color="auto" w:fill="FFFFFF"/>
        </w:rPr>
        <w:t>第四部分</w:t>
      </w:r>
      <w:r>
        <w:rPr>
          <w:rFonts w:ascii="黑体" w:hAnsi="黑体" w:eastAsia="黑体" w:cs="黑体"/>
          <w:b/>
          <w:bCs/>
          <w:color w:val="666666"/>
          <w:spacing w:val="-32"/>
          <w:kern w:val="0"/>
          <w:sz w:val="48"/>
          <w:szCs w:val="48"/>
          <w:shd w:val="clear" w:color="auto" w:fill="FFFFFF"/>
        </w:rPr>
        <w:t>  </w:t>
      </w:r>
      <w:r>
        <w:rPr>
          <w:rFonts w:hint="eastAsia" w:ascii="黑体" w:hAnsi="黑体" w:eastAsia="黑体" w:cs="黑体"/>
          <w:b/>
          <w:bCs/>
          <w:color w:val="666666"/>
          <w:kern w:val="0"/>
          <w:sz w:val="48"/>
          <w:szCs w:val="48"/>
          <w:shd w:val="clear" w:color="auto" w:fill="FFFFFF"/>
        </w:rPr>
        <w:t>名词解释</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一、财政拨款收入：是指市级财政当年拨付的资金。</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二、事业收入：是指事业单位开展专业活动及辅助活动所取得的收入。</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三、其他收入：是指部门取得的除“财政拨款”、“事业收入”、“事业单位经营收入”等以外的收入。</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五、上年结转和结余：是指以前年度支出预算因客观条件变化未执行完毕、结转到本年度按有关规定继续使用的资金，既包括财政拨款结转和结余，也包括事业收入、经营收入、其他收入的结转和结余。</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六、基本支出：是指为保障机构正常运转、完成日常工作任务所必需的开支，其内容包括人员经费和日常公用经费两部分。</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七、项目支出：是指在基本支出之外，为完成特定的行政工作任务或事业发展目标所发生的支出。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八、一般公共服务：是指各行政事业单位用于保障机构正常运行、开展业务等活动的支出。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ascii="仿宋" w:hAnsi="仿宋" w:eastAsia="仿宋" w:cs="仿宋"/>
          <w:b/>
          <w:bCs/>
          <w:color w:val="666666"/>
          <w:kern w:val="0"/>
          <w:sz w:val="32"/>
          <w:szCs w:val="32"/>
          <w:shd w:val="clear" w:color="auto" w:fill="FFFFFF"/>
        </w:rPr>
        <w:t>1</w:t>
      </w:r>
      <w:r>
        <w:rPr>
          <w:rFonts w:hint="eastAsia" w:ascii="仿宋" w:hAnsi="仿宋" w:eastAsia="仿宋" w:cs="仿宋"/>
          <w:b/>
          <w:bCs/>
          <w:color w:val="666666"/>
          <w:kern w:val="0"/>
          <w:sz w:val="32"/>
          <w:szCs w:val="32"/>
          <w:shd w:val="clear" w:color="auto" w:fill="FFFFFF"/>
        </w:rPr>
        <w:t>、行政运行（项）：是指为保障各单位行政机构正常运转、完成日常工作任务安排的支出。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ascii="仿宋" w:hAnsi="仿宋" w:eastAsia="仿宋" w:cs="仿宋"/>
          <w:b/>
          <w:bCs/>
          <w:color w:val="666666"/>
          <w:kern w:val="0"/>
          <w:sz w:val="32"/>
          <w:szCs w:val="32"/>
          <w:shd w:val="clear" w:color="auto" w:fill="FFFFFF"/>
        </w:rPr>
        <w:t>2</w:t>
      </w:r>
      <w:r>
        <w:rPr>
          <w:rFonts w:hint="eastAsia" w:ascii="仿宋" w:hAnsi="仿宋" w:eastAsia="仿宋" w:cs="仿宋"/>
          <w:b/>
          <w:bCs/>
          <w:color w:val="666666"/>
          <w:kern w:val="0"/>
          <w:sz w:val="32"/>
          <w:szCs w:val="32"/>
          <w:shd w:val="clear" w:color="auto" w:fill="FFFFFF"/>
        </w:rPr>
        <w:t>、一般行政管理事务（项）：是指各单位机关及所属二级单位的项目支出。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ascii="仿宋" w:hAnsi="仿宋" w:eastAsia="仿宋" w:cs="仿宋"/>
          <w:b/>
          <w:bCs/>
          <w:color w:val="666666"/>
          <w:kern w:val="0"/>
          <w:sz w:val="32"/>
          <w:szCs w:val="32"/>
          <w:shd w:val="clear" w:color="auto" w:fill="FFFFFF"/>
        </w:rPr>
        <w:t>3</w:t>
      </w:r>
      <w:r>
        <w:rPr>
          <w:rFonts w:hint="eastAsia" w:ascii="仿宋" w:hAnsi="仿宋" w:eastAsia="仿宋" w:cs="仿宋"/>
          <w:b/>
          <w:bCs/>
          <w:color w:val="666666"/>
          <w:kern w:val="0"/>
          <w:sz w:val="32"/>
          <w:szCs w:val="32"/>
          <w:shd w:val="clear" w:color="auto" w:fill="FFFFFF"/>
        </w:rPr>
        <w:t>、事业运行（项）：是指事业单位用于保障机构正常运转的基本支出。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ascii="仿宋" w:hAnsi="仿宋" w:eastAsia="仿宋" w:cs="仿宋"/>
          <w:b/>
          <w:bCs/>
          <w:color w:val="666666"/>
          <w:kern w:val="0"/>
          <w:sz w:val="32"/>
          <w:szCs w:val="32"/>
          <w:shd w:val="clear" w:color="auto" w:fill="FFFFFF"/>
        </w:rPr>
        <w:t>4</w:t>
      </w:r>
      <w:r>
        <w:rPr>
          <w:rFonts w:hint="eastAsia" w:ascii="仿宋" w:hAnsi="仿宋" w:eastAsia="仿宋" w:cs="仿宋"/>
          <w:b/>
          <w:bCs/>
          <w:color w:val="666666"/>
          <w:kern w:val="0"/>
          <w:sz w:val="32"/>
          <w:szCs w:val="32"/>
          <w:shd w:val="clear" w:color="auto" w:fill="FFFFFF"/>
        </w:rPr>
        <w:t>、其他支出（项）：上述项目以外用于其他方面的支出。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九、“三公”经费：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shd w:val="clear" w:color="auto" w:fill="FFFFFF"/>
        <w:spacing w:beforeAutospacing="1" w:afterAutospacing="1" w:line="270" w:lineRule="atLeast"/>
        <w:ind w:firstLine="640"/>
        <w:jc w:val="left"/>
        <w:rPr>
          <w:rFonts w:ascii="仿宋" w:hAnsi="仿宋" w:eastAsia="仿宋" w:cs="仿宋"/>
          <w:b/>
          <w:bCs/>
          <w:sz w:val="32"/>
          <w:szCs w:val="32"/>
        </w:rPr>
      </w:pPr>
      <w:r>
        <w:rPr>
          <w:rFonts w:hint="eastAsia" w:ascii="仿宋" w:hAnsi="仿宋" w:eastAsia="仿宋" w:cs="仿宋"/>
          <w:b/>
          <w:bCs/>
          <w:color w:val="666666"/>
          <w:kern w:val="0"/>
          <w:sz w:val="32"/>
          <w:szCs w:val="32"/>
          <w:shd w:val="clear" w:color="auto" w:fill="FFFFFF"/>
        </w:rPr>
        <w:t>十、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8"/>
        <w:rPr>
          <w:rFonts w:ascii="仿宋" w:hAnsi="仿宋" w:eastAsia="仿宋" w:cs="仿宋"/>
          <w:b/>
          <w:bCs/>
          <w:sz w:val="32"/>
          <w:szCs w:val="32"/>
        </w:rPr>
      </w:pPr>
      <w:r>
        <w:rPr>
          <w:rFonts w:hint="eastAsia" w:ascii="仿宋" w:hAnsi="仿宋" w:eastAsia="仿宋" w:cs="仿宋"/>
          <w:b/>
          <w:bCs/>
          <w:sz w:val="32"/>
          <w:szCs w:val="32"/>
        </w:rPr>
        <w:t>窗体底端</w:t>
      </w:r>
    </w:p>
    <w:p>
      <w:pPr>
        <w:rPr>
          <w:rFonts w:ascii="仿宋" w:hAnsi="仿宋" w:eastAsia="仿宋" w:cs="仿宋"/>
          <w:b/>
          <w:bCs/>
          <w:sz w:val="32"/>
          <w:szCs w:val="32"/>
        </w:rPr>
      </w:pPr>
    </w:p>
    <w:p>
      <w:pPr>
        <w:rPr>
          <w:rFonts w:ascii="仿宋" w:hAnsi="仿宋" w:eastAsia="仿宋" w:cs="仿宋"/>
          <w:sz w:val="32"/>
          <w:szCs w:val="32"/>
        </w:rPr>
      </w:pPr>
    </w:p>
    <w:sectPr>
      <w:headerReference r:id="rId5" w:type="first"/>
      <w:footerReference r:id="rId8" w:type="first"/>
      <w:headerReference r:id="rId3" w:type="default"/>
      <w:footerReference r:id="rId6" w:type="default"/>
      <w:headerReference r:id="rId4" w:type="even"/>
      <w:footerReference r:id="rId7" w:type="even"/>
      <w:pgSz w:w="12240" w:h="15840"/>
      <w:pgMar w:top="1440" w:right="1800" w:bottom="1440" w:left="1800" w:header="720" w:footer="720" w:gutter="0"/>
      <w:cols w:space="720" w:num="1"/>
      <w:rtlGutter w:val="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AC817B"/>
    <w:multiLevelType w:val="singleLevel"/>
    <w:tmpl w:val="6CAC817B"/>
    <w:lvl w:ilvl="0" w:tentative="0">
      <w:start w:val="3"/>
      <w:numFmt w:val="decimal"/>
      <w:suff w:val="nothing"/>
      <w:lvlText w:val="%1．"/>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9132D"/>
    <w:rsid w:val="001241E5"/>
    <w:rsid w:val="00172A27"/>
    <w:rsid w:val="0036780D"/>
    <w:rsid w:val="004F760D"/>
    <w:rsid w:val="007142F9"/>
    <w:rsid w:val="0083274F"/>
    <w:rsid w:val="00833B91"/>
    <w:rsid w:val="00893970"/>
    <w:rsid w:val="008B2A69"/>
    <w:rsid w:val="008C0AAB"/>
    <w:rsid w:val="00975434"/>
    <w:rsid w:val="009D5B1D"/>
    <w:rsid w:val="00AC5CB4"/>
    <w:rsid w:val="00AD273E"/>
    <w:rsid w:val="00B01648"/>
    <w:rsid w:val="00BE33EF"/>
    <w:rsid w:val="00EA4B71"/>
    <w:rsid w:val="017827A5"/>
    <w:rsid w:val="048F4447"/>
    <w:rsid w:val="09004707"/>
    <w:rsid w:val="0E224357"/>
    <w:rsid w:val="1006264D"/>
    <w:rsid w:val="1A986DEC"/>
    <w:rsid w:val="29321B94"/>
    <w:rsid w:val="3B797E86"/>
    <w:rsid w:val="3DCC75B2"/>
    <w:rsid w:val="3F36199C"/>
    <w:rsid w:val="42E90491"/>
    <w:rsid w:val="43DE75BE"/>
    <w:rsid w:val="59073E02"/>
    <w:rsid w:val="5AC22E09"/>
    <w:rsid w:val="628E038C"/>
    <w:rsid w:val="68E40E97"/>
    <w:rsid w:val="713C1235"/>
    <w:rsid w:val="738D705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Calibri" w:hAnsi="Calibri" w:eastAsia="宋体" w:cs="Times New Roman"/>
      <w:kern w:val="2"/>
      <w:sz w:val="21"/>
      <w:szCs w:val="20"/>
      <w:lang w:val="en-US" w:eastAsia="zh-CN" w:bidi="ar-SA"/>
    </w:rPr>
  </w:style>
  <w:style w:type="character" w:default="1" w:styleId="5">
    <w:name w:val="Default Paragraph Font"/>
    <w:semiHidden/>
    <w:qFormat/>
    <w:uiPriority w:val="99"/>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Plain Text"/>
    <w:basedOn w:val="1"/>
    <w:link w:val="11"/>
    <w:qFormat/>
    <w:uiPriority w:val="99"/>
    <w:pPr>
      <w:widowControl w:val="0"/>
    </w:pPr>
    <w:rPr>
      <w:rFonts w:ascii="宋体" w:hAnsi="Courier New" w:cs="Courier New"/>
      <w:szCs w:val="21"/>
    </w:r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99"/>
    <w:rPr>
      <w:rFonts w:cs="Times New Roman"/>
      <w:b/>
    </w:rPr>
  </w:style>
  <w:style w:type="paragraph" w:customStyle="1" w:styleId="8">
    <w:name w:val="_Style 8"/>
    <w:basedOn w:val="1"/>
    <w:next w:val="1"/>
    <w:qFormat/>
    <w:uiPriority w:val="99"/>
    <w:pPr>
      <w:pBdr>
        <w:top w:val="single" w:color="auto" w:sz="6" w:space="1"/>
      </w:pBdr>
      <w:jc w:val="center"/>
    </w:pPr>
    <w:rPr>
      <w:rFonts w:ascii="Arial"/>
      <w:vanish/>
      <w:sz w:val="16"/>
    </w:rPr>
  </w:style>
  <w:style w:type="character" w:customStyle="1" w:styleId="9">
    <w:name w:val="Header Char"/>
    <w:basedOn w:val="5"/>
    <w:link w:val="4"/>
    <w:semiHidden/>
    <w:qFormat/>
    <w:uiPriority w:val="99"/>
    <w:rPr>
      <w:rFonts w:ascii="Calibri" w:hAnsi="Calibri"/>
      <w:sz w:val="18"/>
      <w:szCs w:val="18"/>
    </w:rPr>
  </w:style>
  <w:style w:type="character" w:customStyle="1" w:styleId="10">
    <w:name w:val="Footer Char"/>
    <w:basedOn w:val="5"/>
    <w:link w:val="3"/>
    <w:semiHidden/>
    <w:qFormat/>
    <w:uiPriority w:val="99"/>
    <w:rPr>
      <w:rFonts w:ascii="Calibri" w:hAnsi="Calibri"/>
      <w:sz w:val="18"/>
      <w:szCs w:val="18"/>
    </w:rPr>
  </w:style>
  <w:style w:type="character" w:customStyle="1" w:styleId="11">
    <w:name w:val="Plain Text Char"/>
    <w:basedOn w:val="5"/>
    <w:link w:val="2"/>
    <w:semiHidden/>
    <w:qFormat/>
    <w:uiPriority w:val="99"/>
    <w:rPr>
      <w:rFonts w:ascii="宋体" w:hAnsi="Courier New" w:cs="Courier New"/>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17</Pages>
  <Words>1759</Words>
  <Characters>10027</Characters>
  <Lines>0</Lines>
  <Paragraphs>0</Paragraphs>
  <TotalTime>2</TotalTime>
  <ScaleCrop>false</ScaleCrop>
  <LinksUpToDate>false</LinksUpToDate>
  <CharactersWithSpaces>0</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妇联</cp:lastModifiedBy>
  <dcterms:modified xsi:type="dcterms:W3CDTF">2021-05-20T07:37:19Z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