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关于2021年全市一般公共收入预算情况的说   明</w:t>
      </w:r>
    </w:p>
    <w:p>
      <w:pPr>
        <w:widowControl/>
        <w:shd w:val="clear" w:color="auto" w:fill="FFFFFF"/>
        <w:spacing w:line="600" w:lineRule="atLeast"/>
        <w:ind w:firstLine="640"/>
        <w:jc w:val="left"/>
        <w:rPr>
          <w:rFonts w:ascii="宋体" w:hAnsi="宋体" w:eastAsia="宋体" w:cs="宋体"/>
          <w:color w:val="666666"/>
          <w:kern w:val="0"/>
          <w:sz w:val="18"/>
          <w:szCs w:val="18"/>
        </w:rPr>
      </w:pPr>
      <w:r>
        <w:rPr>
          <w:rFonts w:hint="eastAsia" w:ascii="FangSong_GB2312" w:hAnsi="宋体" w:eastAsia="FangSong_GB2312" w:cs="宋体"/>
          <w:color w:val="666666"/>
          <w:kern w:val="0"/>
          <w:sz w:val="32"/>
          <w:szCs w:val="32"/>
        </w:rPr>
        <w:t> </w:t>
      </w:r>
    </w:p>
    <w:p>
      <w:pPr>
        <w:spacing w:line="560" w:lineRule="exact"/>
        <w:ind w:firstLine="624" w:firstLineChars="200"/>
        <w:rPr>
          <w:rFonts w:hint="eastAsia" w:ascii="FangSong_GB2312" w:eastAsia="FangSong_GB2312"/>
          <w:spacing w:val="-4"/>
          <w:sz w:val="32"/>
          <w:szCs w:val="32"/>
        </w:rPr>
      </w:pPr>
      <w:r>
        <w:rPr>
          <w:rFonts w:hint="eastAsia" w:ascii="FangSong_GB2312" w:eastAsia="FangSong_GB2312"/>
          <w:spacing w:val="-4"/>
          <w:sz w:val="32"/>
          <w:szCs w:val="32"/>
        </w:rPr>
        <w:t>2021年全市一般公共预算收入安排150775万元，增长6%。其中：税收收入安排114589万元，增长14%，税收占一般公共预算收入的比重为76%。一般公共预算财力情况为：本级组织收入150775万元，目前已收到上级转移支付收入337411万元，上年结余收入3186万元（其中：结转下年使用3122万元，动用预算稳定调节基金64万元），扣减上解省、周口市财政支出23776万元，可用财力安排467596万元。其中市本级支出445596万元，镇办支出22000万元。（目前上下级结算工作仍在进行，年度中还有省财力性补助收入，因此部分数据可能还会变动，年终总财力要大于该数）。</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一、市本级收入主要项目情况</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2021年全市一般公共预算收入安排150775万元，增长6%。其中：税收收入安排114589万元，增长14%，税收占一般公共预算收入的比重为76%。主要项目安排情况是：</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1、增值税45294万元，较上年完成数增长14.1%。</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2、企业所得税13200万元，较上年完成数增长11.5%。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3、个人所得税1009万元，较上年完成数增长12.7%。</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4、资源税736万元，较上年完成数增长56.9%。</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5、城市维护建设税6313万元，较上年完成数增长13.3%。</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6、房产税1396万元，较上年完成数增长19.8%。</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7、印花税1525万元，较上年完成数增长19.3%。</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8、城镇土地使用税6061万元，较上年完成数增长11.5%。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9、土地增值税17920万元，较上年完成数增长9%。</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10、车船税1964万元，较上年完成数增长11.5%。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11、耕地占用税13078万元，较上年完成数增长16%。</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12、契税5993万元，较上年完成数增长26.2%。</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13、烟叶税35万元，较上年完成数增长9.4%。</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14、环境保护税86万元，较上年完成数增长38.7%。</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15、专项收入11950万元，较上年完成数增长206.3%。</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16、行政事业性收费收入5095万元，较上年完成数下降18.7%。</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17、罚没收入5045万元，较上年完成数下降38.5%。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18、国有资源(资产)有偿使用收入13686万元，较上年完成数增长23.5%。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18、政府住房基金收入300万元，较上年完成数增长39.5%。</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19、其他收入110万元，较上年完成数增长2100%。</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二、上级补助收入项目情况和转移支付情况说明</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包括返还性收入、一般性转移支付和专项转移支付三部分。</w:t>
      </w:r>
    </w:p>
    <w:p>
      <w:pPr>
        <w:spacing w:line="560" w:lineRule="exact"/>
        <w:ind w:firstLine="643" w:firstLineChars="200"/>
        <w:rPr>
          <w:rFonts w:ascii="KaiTi" w:hAnsi="KaiTi" w:eastAsia="KaiTi"/>
          <w:b/>
          <w:sz w:val="32"/>
          <w:szCs w:val="32"/>
        </w:rPr>
      </w:pPr>
      <w:r>
        <w:rPr>
          <w:rFonts w:hint="eastAsia" w:ascii="KaiTi" w:hAnsi="KaiTi" w:eastAsia="KaiTi"/>
          <w:b/>
          <w:sz w:val="32"/>
          <w:szCs w:val="32"/>
        </w:rPr>
        <w:t>（一）返还性收入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2021年返还性收入15207万元。分项情况是：</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1、增值税基数返还收入7769万元，系原增值税1:0.3返还收入，从2016年起，以2015年实际返还数为基数固定补助。</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2、所得税基数返还收入2669万元，系基数性补助，按省财政厅核定数列报。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3、消费税基数返还收入7万元，系基数性补助，按省财政厅核定数列报。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4、成品油价格和税费改革税收返还收入1349万元，系基数性补助，按省财政厅核定数列报。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5、增值税收入划分税收返还基数3413万元。中央从2016年5月1日起全面推开营改增试点和实施增值税收入划分过渡方案，从2017年起省财政核定我市增值税收入基数为万22262元，即从2017年起我市在每年完成增值税收入基数22262万元的情况下，省财政固定补助增值税收入划分税收返还基数3413万元，如完不成增值税收入基数，则按差额数固定上解省财政。</w:t>
      </w:r>
    </w:p>
    <w:p>
      <w:pPr>
        <w:spacing w:line="560" w:lineRule="exact"/>
        <w:ind w:firstLine="643" w:firstLineChars="200"/>
        <w:rPr>
          <w:rFonts w:ascii="KaiTi" w:hAnsi="KaiTi" w:eastAsia="KaiTi"/>
          <w:b/>
          <w:sz w:val="32"/>
          <w:szCs w:val="32"/>
        </w:rPr>
      </w:pPr>
      <w:r>
        <w:rPr>
          <w:rFonts w:hint="eastAsia" w:ascii="KaiTi" w:hAnsi="KaiTi" w:eastAsia="KaiTi"/>
          <w:b/>
          <w:sz w:val="32"/>
          <w:szCs w:val="32"/>
        </w:rPr>
        <w:t>（二）一般性转移支付收入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2021年预计市级一般性转移支付收入318142万元，主要项目安排情况是：</w:t>
      </w:r>
    </w:p>
    <w:p>
      <w:pPr>
        <w:spacing w:line="560" w:lineRule="exact"/>
        <w:ind w:firstLine="640"/>
        <w:rPr>
          <w:rFonts w:hint="eastAsia" w:ascii="FangSong" w:hAnsi="FangSong" w:eastAsia="FangSong"/>
          <w:sz w:val="32"/>
          <w:szCs w:val="32"/>
        </w:rPr>
      </w:pPr>
      <w:r>
        <w:rPr>
          <w:rFonts w:hint="eastAsia" w:ascii="FangSong" w:hAnsi="FangSong" w:eastAsia="FangSong"/>
          <w:sz w:val="32"/>
          <w:szCs w:val="32"/>
        </w:rPr>
        <w:t>1、均衡性转移支付92214万元，按省财政厅提前告知数安排。</w:t>
      </w:r>
    </w:p>
    <w:p>
      <w:pPr>
        <w:ind w:firstLine="640"/>
        <w:rPr>
          <w:rFonts w:ascii="FangSong" w:hAnsi="FangSong" w:eastAsia="FangSong"/>
          <w:sz w:val="32"/>
          <w:szCs w:val="32"/>
        </w:rPr>
      </w:pPr>
      <w:r>
        <w:rPr>
          <w:rFonts w:hint="eastAsia" w:ascii="FangSong" w:hAnsi="FangSong" w:eastAsia="FangSong"/>
          <w:sz w:val="32"/>
          <w:szCs w:val="32"/>
        </w:rPr>
        <w:t>2、县级基本财力保障机制奖补资金收入30986万元，按省财政厅提前告知数安排。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3、结算补助收入2762万元，按省财政厅提前告知数安排。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4、产粮（油）大县奖励资金收入6193万元，按省财政厅提前告知数安排。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5、固定数额补助收入22700万元，按省财政厅提前告知数安排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6、贫困地区转移支付收入388万元，按省财政厅提前告知数安排.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7、公共安全共同财政事权转移支付收入2025万元，按省财政厅提前告知数安排。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8、教育共同财政事权转移支付收入25933万元，按省财政厅提前告知数安排。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9、文化旅游体育与传媒共同财政事权转移支付收入521万元，按省财政厅提前告知数安排。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10、社会保障和就业共同财政事权转移支付收入45328万元，按省财政厅提前告知数安排。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11、医疗卫生共同财政事权转移支付收入63033万元，按省财政厅提前告知数安排。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12、节能环保共同财政事权转移支付收入936万元，按省财政厅提前告知数安排。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13、农林水共同财政事权转移支付收入23723万元，按省财政厅提前告知数安排。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14、交通运输共同财政事权转移支付收入210万元，按省财政厅提前告知数安排。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15、住房保障共同财政事权转移支付收入878万元，按省财政厅提前告知数安排。</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16、其他一般性转移支付收入312万元，按省财政厅提前告知数安排。</w:t>
      </w:r>
    </w:p>
    <w:p>
      <w:pPr>
        <w:spacing w:line="560" w:lineRule="exact"/>
        <w:ind w:firstLine="643" w:firstLineChars="200"/>
        <w:rPr>
          <w:rFonts w:ascii="KaiTi" w:hAnsi="KaiTi" w:eastAsia="KaiTi"/>
          <w:b/>
          <w:sz w:val="32"/>
          <w:szCs w:val="32"/>
        </w:rPr>
      </w:pPr>
      <w:r>
        <w:rPr>
          <w:rFonts w:hint="eastAsia" w:ascii="KaiTi" w:hAnsi="KaiTi" w:eastAsia="KaiTi"/>
          <w:b/>
          <w:sz w:val="32"/>
          <w:szCs w:val="32"/>
        </w:rPr>
        <w:t>（三）专项转移支付收入</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截止2021年12月底，省财政厅共提前告知市本级专项转移支付补助资金4062万元，主要项目有：</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1、教育102万元，主要是职业教育专项资金。</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2、卫生健康379万元，主要是重大传染病防控经费。</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3、农林水1269万元，主要是农村饮水、美丽乡村、农村公益事业、普惠金融等。</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4、交通运输2191万元，主要是干线公路养护、公路建设资金。</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三、上解支出</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2021年上解省市支出预计23776万元，主要包括原体制基数上解和专项结算上解两部分。</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四、上年结余结转情况</w:t>
      </w:r>
    </w:p>
    <w:p>
      <w:pPr>
        <w:spacing w:line="560" w:lineRule="exact"/>
        <w:ind w:firstLine="640" w:firstLineChars="200"/>
        <w:rPr>
          <w:rFonts w:hint="eastAsia" w:ascii="FangSong" w:hAnsi="FangSong" w:eastAsia="FangSong"/>
          <w:sz w:val="32"/>
          <w:szCs w:val="32"/>
        </w:rPr>
      </w:pPr>
      <w:r>
        <w:rPr>
          <w:rFonts w:hint="eastAsia" w:ascii="FangSong" w:hAnsi="FangSong" w:eastAsia="FangSong"/>
          <w:sz w:val="32"/>
          <w:szCs w:val="32"/>
        </w:rPr>
        <w:t>2020年结余结转项目资金3186万元列入2021年预算。主要结转科目有：教育支出2324万元，科学技术34万元，文化旅游体育与传媒28万元，社会保障和就业289万元，农林水192万元，灾害防治及应急管理支出159万元。</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五、地方政府债券还本支出</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按照财政部代地方政府发行政府债券资金的还款期限规定，2021我市安排地方政府一般债务还本支出987万元。</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803" w:firstLineChars="200"/>
        <w:jc w:val="center"/>
        <w:rPr>
          <w:rFonts w:hint="eastAsia" w:asciiTheme="majorEastAsia" w:hAnsiTheme="majorEastAsia" w:eastAsiaTheme="majorEastAsia"/>
          <w:b/>
          <w:spacing w:val="-20"/>
          <w:sz w:val="44"/>
          <w:szCs w:val="44"/>
        </w:rPr>
      </w:pPr>
    </w:p>
    <w:p>
      <w:pPr>
        <w:spacing w:line="560" w:lineRule="exact"/>
        <w:ind w:firstLine="803" w:firstLineChars="200"/>
        <w:jc w:val="center"/>
        <w:rPr>
          <w:rFonts w:hint="eastAsia" w:asciiTheme="majorEastAsia" w:hAnsiTheme="majorEastAsia" w:eastAsiaTheme="majorEastAsia"/>
          <w:b/>
          <w:spacing w:val="-20"/>
          <w:sz w:val="44"/>
          <w:szCs w:val="44"/>
        </w:rPr>
      </w:pPr>
    </w:p>
    <w:p>
      <w:pPr>
        <w:spacing w:line="560" w:lineRule="exact"/>
        <w:ind w:firstLine="803" w:firstLineChars="200"/>
        <w:jc w:val="center"/>
        <w:rPr>
          <w:rFonts w:hint="eastAsia" w:asciiTheme="majorEastAsia" w:hAnsiTheme="majorEastAsia" w:eastAsiaTheme="majorEastAsia"/>
          <w:b/>
          <w:spacing w:val="-20"/>
          <w:sz w:val="44"/>
          <w:szCs w:val="44"/>
        </w:rPr>
      </w:pPr>
    </w:p>
    <w:p>
      <w:pPr>
        <w:spacing w:line="560" w:lineRule="exact"/>
        <w:ind w:firstLine="803" w:firstLineChars="200"/>
        <w:jc w:val="center"/>
        <w:rPr>
          <w:rFonts w:asciiTheme="majorEastAsia" w:hAnsiTheme="majorEastAsia" w:eastAsiaTheme="majorEastAsia"/>
          <w:b/>
          <w:sz w:val="44"/>
          <w:szCs w:val="44"/>
        </w:rPr>
      </w:pPr>
      <w:r>
        <w:rPr>
          <w:rFonts w:hint="eastAsia" w:asciiTheme="majorEastAsia" w:hAnsiTheme="majorEastAsia" w:eastAsiaTheme="majorEastAsia"/>
          <w:b/>
          <w:spacing w:val="-20"/>
          <w:sz w:val="44"/>
          <w:szCs w:val="44"/>
        </w:rPr>
        <w:t>关于2021年市级一般公共支出预算情况的</w:t>
      </w:r>
    </w:p>
    <w:p>
      <w:pPr>
        <w:spacing w:line="560" w:lineRule="exact"/>
        <w:ind w:firstLine="883" w:firstLineChars="20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说     明</w:t>
      </w:r>
    </w:p>
    <w:p>
      <w:pPr>
        <w:spacing w:line="520" w:lineRule="exact"/>
        <w:ind w:firstLine="640" w:firstLineChars="200"/>
        <w:rPr>
          <w:rFonts w:ascii="FangSong_GB2312" w:hAnsi="Calibri" w:eastAsia="FangSong_GB2312" w:cs="Times New Roman"/>
          <w:b/>
          <w:color w:val="000000"/>
          <w:sz w:val="32"/>
          <w:szCs w:val="32"/>
        </w:rPr>
      </w:pPr>
    </w:p>
    <w:p>
      <w:pPr>
        <w:spacing w:line="520" w:lineRule="exact"/>
        <w:ind w:firstLine="640" w:firstLineChars="200"/>
        <w:rPr>
          <w:rFonts w:ascii="FangSong_GB2312" w:hAnsi="Calibri" w:eastAsia="FangSong_GB2312" w:cs="Times New Roman"/>
          <w:color w:val="000000"/>
          <w:sz w:val="32"/>
          <w:szCs w:val="32"/>
        </w:rPr>
      </w:pPr>
      <w:r>
        <w:rPr>
          <w:rFonts w:hint="eastAsia" w:ascii="FangSong_GB2312" w:hAnsi="Calibri" w:eastAsia="FangSong_GB2312" w:cs="Times New Roman"/>
          <w:color w:val="000000"/>
          <w:sz w:val="32"/>
          <w:szCs w:val="32"/>
        </w:rPr>
        <w:t>2021年全市一般公共预算财力安排为</w:t>
      </w:r>
      <w:r>
        <w:rPr>
          <w:rFonts w:hint="eastAsia" w:ascii="FangSong_GB2312" w:hAnsi="Calibri" w:eastAsia="宋体" w:cs="Times New Roman"/>
          <w:color w:val="000000"/>
          <w:sz w:val="32"/>
          <w:szCs w:val="32"/>
          <w:lang w:val="en-US" w:eastAsia="zh-CN"/>
        </w:rPr>
        <w:t>466609</w:t>
      </w:r>
      <w:r>
        <w:rPr>
          <w:rFonts w:hint="eastAsia" w:ascii="FangSong_GB2312" w:hAnsi="Calibri" w:eastAsia="FangSong_GB2312" w:cs="Times New Roman"/>
          <w:color w:val="000000"/>
          <w:sz w:val="32"/>
          <w:szCs w:val="32"/>
        </w:rPr>
        <w:t>万元，支出初步安排为</w:t>
      </w:r>
      <w:r>
        <w:rPr>
          <w:rFonts w:hint="eastAsia" w:ascii="FangSong_GB2312" w:hAnsi="Calibri" w:eastAsia="宋体" w:cs="Times New Roman"/>
          <w:color w:val="000000"/>
          <w:sz w:val="32"/>
          <w:szCs w:val="32"/>
          <w:lang w:val="en-US" w:eastAsia="zh-CN"/>
        </w:rPr>
        <w:t>466609</w:t>
      </w:r>
      <w:r>
        <w:rPr>
          <w:rFonts w:hint="eastAsia" w:ascii="FangSong_GB2312" w:hAnsi="Calibri" w:eastAsia="FangSong_GB2312" w:cs="Times New Roman"/>
          <w:color w:val="000000"/>
          <w:sz w:val="32"/>
          <w:szCs w:val="32"/>
        </w:rPr>
        <w:t>万元，</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一、2020年市级一般公共支出预算</w:t>
      </w:r>
      <w:bookmarkStart w:id="0" w:name="_GoBack"/>
      <w:bookmarkEnd w:id="0"/>
      <w:r>
        <w:rPr>
          <w:rFonts w:hint="eastAsia" w:ascii="SimHei" w:hAnsi="SimHei" w:eastAsia="SimHei"/>
          <w:sz w:val="32"/>
          <w:szCs w:val="32"/>
        </w:rPr>
        <w:t>安排情况</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2021年预算支出主要用于满足改善民生以及促进经济发展方面的重点支出需要。主要科目支出安排情况是：</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一般公共服务支出35597万元，国防支出240万元，公共安全支出20101万元，教育支出117332万元，科学技术支出7606万元，文化旅游体育与传媒支出6235万元，社会保障和就业支出93803万元，卫生健康支出87042万元，节能环保支出936万元，城乡社区支出11841万元，农林水支出46837万元，交通运输支出5638万元，资源勘探工业信息等支出261万元，商业服务业等支出115万元，自然资源海洋气象等支出3287万元，住房保障支出9760万元，粮油物资储备支出1325万元，灾害防治及应急管理支出2311万元，预备费6000万元（含新增工作事项1000万元），债务付息支出7626万元，其他支出2716万元。</w:t>
      </w:r>
      <w:r>
        <w:rPr>
          <w:rFonts w:ascii="FangSong" w:hAnsi="FangSong" w:eastAsia="FangSong"/>
          <w:sz w:val="32"/>
          <w:szCs w:val="32"/>
        </w:rPr>
        <w:t xml:space="preserve"> </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二、提前告知专项转移支付安排支出情况</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截止2021年12月底，省财政厅共提前告知市本级专项转移支付补助资金4062万元，主要项目有：</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1、教育102万元，主要是职业教育专项资金。</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2、卫生健康379万元，主要是重大传染病防控经费。</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3、农林水1269万元，主要是农村饮水、美丽乡村、农村公益事业、普惠金融等。</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4、交通运输2191万元，主要是干线公路养护、公路建设资金。</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三、上年结余结转安排支出情况</w:t>
      </w:r>
    </w:p>
    <w:p>
      <w:pPr>
        <w:spacing w:line="560" w:lineRule="exact"/>
        <w:ind w:firstLine="640" w:firstLineChars="200"/>
        <w:rPr>
          <w:rFonts w:hint="eastAsia" w:ascii="FangSong" w:hAnsi="FangSong" w:eastAsia="FangSong"/>
          <w:sz w:val="32"/>
          <w:szCs w:val="32"/>
        </w:rPr>
      </w:pPr>
      <w:r>
        <w:rPr>
          <w:rFonts w:hint="eastAsia" w:ascii="FangSong" w:hAnsi="FangSong" w:eastAsia="FangSong"/>
          <w:sz w:val="32"/>
          <w:szCs w:val="32"/>
        </w:rPr>
        <w:t>2020年结余结转项目资金3186万元列入2021年预算。主要结转科目有：教育支出2324万元，科学技术34万元，文化旅游体育与传媒28万元，社会保障和就业289万元，农林水192万元，灾害防治及应急管理支出159万元。</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宋体" w:hAnsi="宋体" w:eastAsia="宋体" w:cs="宋体"/>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关于2021年市级部门“三公”经费支出预算情况的说明</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根据《河南省人民政府办公厅关于进一步深化全省部门预算改革的通知》（豫政办〔2011〕105号）要求，从2012年起各级财政部门要向社会公开本级“三公”经费预决算支出。</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2021年我市三公经费预算数590万元，较上年预算数相比下降3%。原因是大力压减一般性支出，降低行政运行成本，认真落实“八项规定”和“约法三章”，严格控制一般性支出。其中：因公出国（境）经费0万元，公务用车运行维护费300万元，公务用车购置费0万元，公务接待费290万元。</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br w:type="textWrapping"/>
      </w:r>
    </w:p>
    <w:p>
      <w:pPr>
        <w:spacing w:line="560" w:lineRule="exact"/>
        <w:ind w:firstLine="883" w:firstLineChars="20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关于预算调整情况的说明</w:t>
      </w:r>
    </w:p>
    <w:p>
      <w:pPr>
        <w:spacing w:line="560" w:lineRule="exact"/>
        <w:ind w:firstLine="640" w:firstLineChars="200"/>
        <w:rPr>
          <w:rFonts w:ascii="FangSong" w:hAnsi="FangSong" w:eastAsia="FangSong"/>
          <w:sz w:val="32"/>
          <w:szCs w:val="32"/>
        </w:rPr>
      </w:pP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我市按人代会批复预算进行公开，暂无预算调整情况，年度执行中有预算调整情况时，将及时进行公开。</w:t>
      </w:r>
    </w:p>
    <w:p>
      <w:pPr>
        <w:spacing w:line="560" w:lineRule="exact"/>
        <w:ind w:firstLine="640" w:firstLineChars="200"/>
        <w:rPr>
          <w:rFonts w:ascii="FangSong" w:hAnsi="FangSong" w:eastAsia="FangSong"/>
          <w:sz w:val="32"/>
          <w:szCs w:val="32"/>
        </w:rPr>
      </w:pPr>
    </w:p>
    <w:p>
      <w:pPr>
        <w:spacing w:line="560" w:lineRule="exact"/>
        <w:ind w:firstLine="640" w:firstLineChars="200"/>
        <w:rPr>
          <w:rFonts w:ascii="FangSong" w:hAnsi="FangSong" w:eastAsia="FangSong"/>
          <w:sz w:val="32"/>
          <w:szCs w:val="32"/>
        </w:rPr>
      </w:pPr>
    </w:p>
    <w:p>
      <w:pPr>
        <w:spacing w:line="560" w:lineRule="exact"/>
        <w:ind w:firstLine="640" w:firstLineChars="200"/>
        <w:rPr>
          <w:rFonts w:ascii="FangSong" w:hAnsi="FangSong" w:eastAsia="FangSong"/>
          <w:sz w:val="32"/>
          <w:szCs w:val="32"/>
        </w:rPr>
      </w:pPr>
    </w:p>
    <w:p>
      <w:pPr>
        <w:spacing w:line="560" w:lineRule="exact"/>
        <w:ind w:firstLine="883" w:firstLineChars="200"/>
        <w:jc w:val="center"/>
        <w:rPr>
          <w:rFonts w:hint="eastAsia" w:asciiTheme="majorEastAsia" w:hAnsiTheme="majorEastAsia" w:eastAsiaTheme="majorEastAsia"/>
          <w:b/>
          <w:sz w:val="44"/>
          <w:szCs w:val="44"/>
        </w:rPr>
      </w:pPr>
    </w:p>
    <w:p>
      <w:pPr>
        <w:spacing w:line="560" w:lineRule="exact"/>
        <w:ind w:firstLine="883" w:firstLineChars="20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关于2021年市级政府性基金收支预算情况的说明</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24" w:firstLineChars="200"/>
        <w:rPr>
          <w:rFonts w:ascii="FangSong" w:hAnsi="FangSong" w:eastAsia="FangSong"/>
          <w:sz w:val="32"/>
          <w:szCs w:val="32"/>
        </w:rPr>
      </w:pPr>
      <w:r>
        <w:rPr>
          <w:rFonts w:hint="eastAsia" w:ascii="FangSong_GB2312" w:eastAsia="FangSong_GB2312"/>
          <w:spacing w:val="-4"/>
          <w:sz w:val="32"/>
          <w:szCs w:val="32"/>
        </w:rPr>
        <w:t>全市政府性基金预算本级收入安排140200万元，其中，国有土地使用权出让金收入安排131500万元。政府性基金预算财力情况为：本级组织收入140200万元，上级转移支付收入2516万元，上年结余收入1229万元，可用财力安排143945万元。</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按照“以收定支、专款专用、收支平衡、结余结转下年安排使用”的原则，2021年市本级政府性基金预算收入安排支出140200万元，加上省财政提前告知转移支付2516万元、上年结余收入1229万元，2019年市级政府性基金支出总预算为143945万元。</w:t>
      </w:r>
    </w:p>
    <w:p>
      <w:pPr>
        <w:spacing w:line="580" w:lineRule="exact"/>
        <w:ind w:firstLine="624" w:firstLineChars="200"/>
        <w:rPr>
          <w:rFonts w:hint="eastAsia" w:ascii="FangSong_GB2312" w:eastAsia="FangSong_GB2312"/>
          <w:color w:val="000000"/>
          <w:sz w:val="32"/>
          <w:szCs w:val="32"/>
        </w:rPr>
      </w:pPr>
      <w:r>
        <w:rPr>
          <w:rFonts w:hint="eastAsia" w:ascii="FangSong_GB2312" w:eastAsia="FangSong_GB2312"/>
          <w:spacing w:val="-4"/>
          <w:sz w:val="32"/>
          <w:szCs w:val="32"/>
        </w:rPr>
        <w:t>2021年全市政府性基金财力安排为143945万元，支出预算</w:t>
      </w:r>
      <w:r>
        <w:rPr>
          <w:rFonts w:hint="eastAsia" w:ascii="FangSong_GB2312" w:eastAsia="FangSong_GB2312"/>
          <w:color w:val="000000"/>
          <w:sz w:val="32"/>
          <w:szCs w:val="32"/>
        </w:rPr>
        <w:t>初步安排为143741万元，其中：⑴大中型水库移民后期扶持基金支出3万元；⑵国有土地使用权出让收入安排的支出130261万元；⑶国有土地收益基金安排的支出2800万元；⑷农业土地开发资金安排的支出600万元；⑸城市基础设施配套费安排的支出7500万元；⑹污水处理费安排的支出1661万元；⑺彩票公益金安排的支出916万元。</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883" w:firstLineChars="200"/>
        <w:jc w:val="center"/>
        <w:rPr>
          <w:rFonts w:asciiTheme="majorEastAsia" w:hAnsiTheme="majorEastAsia" w:eastAsiaTheme="majorEastAsia"/>
          <w:b/>
          <w:color w:val="FF0000"/>
          <w:sz w:val="44"/>
          <w:szCs w:val="44"/>
        </w:rPr>
      </w:pPr>
    </w:p>
    <w:p>
      <w:pPr>
        <w:spacing w:line="560" w:lineRule="exact"/>
        <w:ind w:firstLine="883" w:firstLineChars="200"/>
        <w:jc w:val="center"/>
        <w:rPr>
          <w:rFonts w:asciiTheme="majorEastAsia" w:hAnsiTheme="majorEastAsia" w:eastAsiaTheme="majorEastAsia"/>
          <w:b/>
          <w:color w:val="FF0000"/>
          <w:sz w:val="44"/>
          <w:szCs w:val="44"/>
        </w:rPr>
      </w:pPr>
    </w:p>
    <w:p>
      <w:pPr>
        <w:spacing w:line="560" w:lineRule="exact"/>
        <w:jc w:val="center"/>
        <w:rPr>
          <w:rFonts w:hint="eastAsia" w:asciiTheme="majorEastAsia" w:hAnsiTheme="majorEastAsia" w:eastAsiaTheme="majorEastAsia"/>
          <w:b/>
          <w:sz w:val="44"/>
          <w:szCs w:val="44"/>
        </w:rPr>
      </w:pPr>
    </w:p>
    <w:p>
      <w:pPr>
        <w:spacing w:line="560" w:lineRule="exac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关于政府债务情况的说明</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360" w:lineRule="auto"/>
        <w:ind w:firstLine="720" w:firstLineChars="225"/>
        <w:rPr>
          <w:rFonts w:ascii="FangSong" w:hAnsi="FangSong" w:eastAsia="FangSong" w:cs="FangSong"/>
          <w:color w:val="000000" w:themeColor="text1"/>
          <w:sz w:val="32"/>
          <w:szCs w:val="32"/>
          <w14:textFill>
            <w14:solidFill>
              <w14:schemeClr w14:val="tx1"/>
            </w14:solidFill>
          </w14:textFill>
        </w:rPr>
      </w:pPr>
      <w:r>
        <w:rPr>
          <w:rFonts w:hint="eastAsia" w:ascii="FangSong" w:hAnsi="FangSong" w:eastAsia="FangSong" w:cs="FangSong"/>
          <w:color w:val="000000" w:themeColor="text1"/>
          <w:sz w:val="32"/>
          <w:szCs w:val="32"/>
          <w14:textFill>
            <w14:solidFill>
              <w14:schemeClr w14:val="tx1"/>
            </w14:solidFill>
          </w14:textFill>
        </w:rPr>
        <w:t>截止2020年底我市政府债务总额为</w:t>
      </w:r>
      <w:r>
        <w:rPr>
          <w:rFonts w:hint="eastAsia" w:ascii="FangSong" w:hAnsi="FangSong" w:eastAsia="FangSong" w:cs="FangSong"/>
          <w:color w:val="000000" w:themeColor="text1"/>
          <w:kern w:val="0"/>
          <w:sz w:val="32"/>
          <w:szCs w:val="32"/>
          <w:lang w:bidi="ar"/>
          <w14:textFill>
            <w14:solidFill>
              <w14:schemeClr w14:val="tx1"/>
            </w14:solidFill>
          </w14:textFill>
        </w:rPr>
        <w:t>498643</w:t>
      </w:r>
      <w:r>
        <w:rPr>
          <w:rFonts w:hint="eastAsia" w:ascii="FangSong" w:hAnsi="FangSong" w:eastAsia="FangSong" w:cs="FangSong"/>
          <w:color w:val="000000" w:themeColor="text1"/>
          <w:sz w:val="32"/>
          <w:szCs w:val="32"/>
          <w14:textFill>
            <w14:solidFill>
              <w14:schemeClr w14:val="tx1"/>
            </w14:solidFill>
          </w14:textFill>
        </w:rPr>
        <w:t>万元。按债务类型划分：一般债务213340万元，占政府债务总额的42.78％；专项债务285303万元，占政府债务总额的57.22％。</w:t>
      </w:r>
    </w:p>
    <w:p>
      <w:pPr>
        <w:spacing w:line="360" w:lineRule="auto"/>
        <w:ind w:firstLine="640" w:firstLineChars="200"/>
        <w:rPr>
          <w:rFonts w:ascii="FangSong" w:hAnsi="FangSong" w:eastAsia="FangSong" w:cs="Times New Roman"/>
          <w:sz w:val="32"/>
          <w:szCs w:val="32"/>
        </w:rPr>
      </w:pPr>
      <w:r>
        <w:rPr>
          <w:rFonts w:hint="eastAsia" w:ascii="FangSong_GB2312" w:hAnsi="Times New Roman" w:eastAsia="FangSong_GB2312" w:cs="Times New Roman"/>
          <w:sz w:val="32"/>
          <w:szCs w:val="32"/>
        </w:rPr>
        <w:t>省财政厅</w:t>
      </w:r>
      <w:r>
        <w:rPr>
          <w:rFonts w:hint="eastAsia" w:ascii="FangSong" w:hAnsi="FangSong" w:eastAsia="FangSong" w:cs="Times New Roman"/>
          <w:sz w:val="32"/>
          <w:szCs w:val="32"/>
        </w:rPr>
        <w:t>核定我市2020年政府债务限额537204万元，其中：一般债务</w:t>
      </w:r>
      <w:r>
        <w:rPr>
          <w:rFonts w:hint="eastAsia" w:ascii="FangSong" w:hAnsi="FangSong" w:eastAsia="FangSong" w:cs="宋体"/>
          <w:color w:val="000000"/>
          <w:kern w:val="0"/>
          <w:sz w:val="32"/>
          <w:szCs w:val="32"/>
        </w:rPr>
        <w:t>242985</w:t>
      </w:r>
      <w:r>
        <w:rPr>
          <w:rFonts w:hint="eastAsia" w:ascii="FangSong" w:hAnsi="FangSong" w:eastAsia="FangSong" w:cs="Times New Roman"/>
          <w:sz w:val="32"/>
          <w:szCs w:val="32"/>
        </w:rPr>
        <w:t>万元，专项债务</w:t>
      </w:r>
      <w:r>
        <w:rPr>
          <w:rFonts w:hint="eastAsia" w:ascii="FangSong" w:hAnsi="FangSong" w:eastAsia="FangSong" w:cs="宋体"/>
          <w:color w:val="000000"/>
          <w:kern w:val="0"/>
          <w:sz w:val="32"/>
          <w:szCs w:val="32"/>
        </w:rPr>
        <w:t>294219</w:t>
      </w:r>
      <w:r>
        <w:rPr>
          <w:rFonts w:hint="eastAsia" w:ascii="FangSong" w:hAnsi="FangSong" w:eastAsia="FangSong" w:cs="Times New Roman"/>
          <w:sz w:val="32"/>
          <w:szCs w:val="32"/>
        </w:rPr>
        <w:t>万元。</w:t>
      </w:r>
    </w:p>
    <w:p>
      <w:pPr>
        <w:spacing w:line="360" w:lineRule="auto"/>
        <w:ind w:firstLine="627" w:firstLineChars="196"/>
        <w:rPr>
          <w:rFonts w:ascii="FangSong_GB2312" w:hAnsi="Times New Roman" w:eastAsia="FangSong_GB2312" w:cs="Times New Roman"/>
          <w:sz w:val="32"/>
          <w:szCs w:val="32"/>
        </w:rPr>
      </w:pPr>
      <w:r>
        <w:rPr>
          <w:rFonts w:hint="eastAsia" w:ascii="FangSong_GB2312" w:hAnsi="Times New Roman" w:eastAsia="FangSong_GB2312" w:cs="Times New Roman"/>
          <w:sz w:val="32"/>
          <w:szCs w:val="32"/>
        </w:rPr>
        <w:t>根据限额管理的规定，省财政下发我市2020年新增政府债券160700万元，其中：一般债券17400万元，专项债券143300万元。</w:t>
      </w:r>
    </w:p>
    <w:p>
      <w:pPr>
        <w:spacing w:line="360" w:lineRule="auto"/>
        <w:ind w:firstLine="640"/>
        <w:rPr>
          <w:rFonts w:ascii="FangSong_GB2312" w:eastAsia="FangSong_GB2312"/>
          <w:sz w:val="32"/>
          <w:szCs w:val="32"/>
        </w:rPr>
      </w:pPr>
      <w:r>
        <w:rPr>
          <w:rFonts w:hint="eastAsia" w:ascii="FangSong_GB2312" w:eastAsia="FangSong_GB2312"/>
          <w:sz w:val="32"/>
          <w:szCs w:val="32"/>
        </w:rPr>
        <w:t>新增地方政府一般债券资金5700万元。按照资金使用要求，资金分配方案如下：</w:t>
      </w:r>
    </w:p>
    <w:p>
      <w:pPr>
        <w:numPr>
          <w:ilvl w:val="0"/>
          <w:numId w:val="1"/>
        </w:numPr>
        <w:spacing w:line="360" w:lineRule="auto"/>
        <w:ind w:firstLine="640"/>
        <w:rPr>
          <w:rFonts w:ascii="FangSong" w:hAnsi="FangSong" w:eastAsia="FangSong"/>
          <w:sz w:val="32"/>
          <w:szCs w:val="32"/>
        </w:rPr>
      </w:pPr>
      <w:r>
        <w:rPr>
          <w:rFonts w:hint="eastAsia" w:ascii="FangSong" w:hAnsi="FangSong" w:eastAsia="FangSong"/>
          <w:sz w:val="32"/>
          <w:szCs w:val="32"/>
        </w:rPr>
        <w:t>农村公路-贫困村农村公路建设项目6000万元；2、农业及农村建设-贫困村2020年农村公益事业建设财政奖补项目5600万元；3、农业及农村建设-贫困村美丽乡村建设示范县项目1900万元；4、应急医疗体系-新冠肺炎疫情防控设备采购项目600万元；5、道路-产业集聚区基础设施建设1300万元；6、农村公路-X006线黄庙至苏州李道路建设1000万元；7、农村人居环境整治-贫困村农村公益事业建设项目1000万元；</w:t>
      </w:r>
    </w:p>
    <w:p>
      <w:pPr>
        <w:spacing w:line="360" w:lineRule="auto"/>
        <w:ind w:firstLine="640" w:firstLineChars="200"/>
        <w:rPr>
          <w:rFonts w:ascii="FangSong_GB2312" w:eastAsia="FangSong_GB2312"/>
          <w:sz w:val="32"/>
          <w:szCs w:val="32"/>
        </w:rPr>
      </w:pPr>
      <w:r>
        <w:rPr>
          <w:rFonts w:hint="eastAsia" w:ascii="FangSong_GB2312" w:eastAsia="FangSong_GB2312"/>
          <w:sz w:val="32"/>
          <w:szCs w:val="32"/>
        </w:rPr>
        <w:t>新增地方政府专项债券资金80800万元。按照资金使用要求，资金分配方案如下：</w:t>
      </w:r>
    </w:p>
    <w:p>
      <w:pPr>
        <w:numPr>
          <w:ilvl w:val="0"/>
          <w:numId w:val="2"/>
        </w:numPr>
        <w:spacing w:line="360" w:lineRule="auto"/>
        <w:ind w:firstLine="640"/>
        <w:rPr>
          <w:rFonts w:ascii="FangSong_GB2312" w:eastAsia="FangSong_GB2312"/>
          <w:sz w:val="32"/>
          <w:szCs w:val="32"/>
        </w:rPr>
      </w:pPr>
      <w:r>
        <w:rPr>
          <w:rFonts w:hint="eastAsia" w:ascii="FangSong_GB2312" w:eastAsia="FangSong_GB2312"/>
          <w:sz w:val="32"/>
          <w:szCs w:val="32"/>
        </w:rPr>
        <w:t>公立医院-项城市第二人民医院门诊综合楼和病房楼建设项目3500万元；2、污水处理-项城市第二污水处理厂建设项目9000万元；3、学龄前教育-城区新建幼儿园项目13500万元；4、自然生态保护-汾泉河国家湿地公园4300万元；5、城乡冷链物流设施建设-项城市中禾农产品冷链物流建设项目10000万元；6、公立医院-项城市中医院病房楼中药研发楼建设项目8000万元；7、污水处理-项城市后高营和周王庄污水处理厂建设项目16000万元；8、公立医院-县域医疗中心建设项目2000万元；9、项城市中禾农产品批发交易中心建设项目3000万元；10、棚户区改造-赵营郑埠口棚户区改造安置房项目55000万元；11、棚户区改造-项城市邝庄社区棚户区改造项目（C区）3000万元；12、棚户区改造-项城市邝庄社区棚户区改造项目（D区）3000万元；13、棚户区改造-项城市邝庄社区棚户区改造项目（E区）3000万元；14、项城市产业集聚区棚改项目（A、B区）4000万元；15、项城市郑韩棚户区改造项目（A、B、C区）6000万元。</w:t>
      </w:r>
    </w:p>
    <w:p>
      <w:pPr>
        <w:spacing w:line="360" w:lineRule="auto"/>
        <w:ind w:firstLine="640" w:firstLineChars="200"/>
        <w:rPr>
          <w:rFonts w:ascii="FangSong_GB2312" w:hAnsi="Times New Roman" w:eastAsia="FangSong_GB2312" w:cs="Times New Roman"/>
          <w:sz w:val="32"/>
          <w:szCs w:val="32"/>
        </w:rPr>
      </w:pPr>
      <w:r>
        <w:rPr>
          <w:rFonts w:hint="eastAsia" w:ascii="FangSong_GB2312" w:hAnsi="Times New Roman" w:eastAsia="FangSong_GB2312" w:cs="Times New Roman"/>
          <w:sz w:val="32"/>
          <w:szCs w:val="32"/>
        </w:rPr>
        <w:t>2</w:t>
      </w:r>
      <w:r>
        <w:rPr>
          <w:rFonts w:ascii="FangSong_GB2312" w:hAnsi="Times New Roman" w:eastAsia="FangSong_GB2312" w:cs="Times New Roman"/>
          <w:sz w:val="32"/>
          <w:szCs w:val="32"/>
        </w:rPr>
        <w:t>0</w:t>
      </w:r>
      <w:r>
        <w:rPr>
          <w:rFonts w:hint="eastAsia" w:ascii="FangSong_GB2312" w:hAnsi="Times New Roman" w:eastAsia="FangSong_GB2312" w:cs="Times New Roman"/>
          <w:sz w:val="32"/>
          <w:szCs w:val="32"/>
        </w:rPr>
        <w:t>20年地方政府债务还本付息68810.33万元，其中：本金55063.33万元，利息13747万元。2</w:t>
      </w:r>
      <w:r>
        <w:rPr>
          <w:rFonts w:ascii="FangSong_GB2312" w:hAnsi="Times New Roman" w:eastAsia="FangSong_GB2312" w:cs="Times New Roman"/>
          <w:sz w:val="32"/>
          <w:szCs w:val="32"/>
        </w:rPr>
        <w:t>0</w:t>
      </w:r>
      <w:r>
        <w:rPr>
          <w:rFonts w:hint="eastAsia" w:ascii="FangSong_GB2312" w:hAnsi="Times New Roman" w:eastAsia="FangSong_GB2312" w:cs="Times New Roman"/>
          <w:sz w:val="32"/>
          <w:szCs w:val="32"/>
        </w:rPr>
        <w:t>21年地方政府债券还本付息预计执行数45506.55万元，其中：本金28379万元，利息17127.55万元。</w:t>
      </w:r>
    </w:p>
    <w:p>
      <w:pPr>
        <w:adjustRightInd w:val="0"/>
        <w:spacing w:line="360" w:lineRule="auto"/>
        <w:ind w:firstLine="640" w:firstLineChars="200"/>
        <w:rPr>
          <w:rFonts w:ascii="FangSong_GB2312" w:hAnsi="FangSong" w:eastAsia="FangSong_GB2312"/>
          <w:sz w:val="32"/>
          <w:szCs w:val="32"/>
        </w:rPr>
      </w:pPr>
      <w:r>
        <w:rPr>
          <w:rFonts w:hint="eastAsia" w:ascii="FangSong_GB2312" w:hAnsi="FangSong" w:eastAsia="FangSong_GB2312"/>
          <w:sz w:val="32"/>
          <w:szCs w:val="32"/>
        </w:rPr>
        <w:t>由于省财政厅尚未核定下达我市2021年政府债务限额和新增政府债券额度，待省财政厅下达后我们将专题向市人大常委会报告。</w:t>
      </w:r>
    </w:p>
    <w:p>
      <w:pPr>
        <w:spacing w:line="360" w:lineRule="auto"/>
        <w:ind w:firstLine="640" w:firstLineChars="200"/>
        <w:rPr>
          <w:rFonts w:ascii="FangSong" w:hAnsi="FangSong" w:eastAsia="FangSong"/>
          <w:sz w:val="32"/>
          <w:szCs w:val="32"/>
        </w:rPr>
      </w:pPr>
    </w:p>
    <w:p>
      <w:pPr>
        <w:ind w:firstLine="420" w:firstLineChars="200"/>
      </w:pP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p>
    <w:p>
      <w:pPr>
        <w:spacing w:line="560" w:lineRule="exact"/>
        <w:ind w:firstLine="827" w:firstLineChars="200"/>
        <w:jc w:val="center"/>
        <w:rPr>
          <w:rFonts w:asciiTheme="majorEastAsia" w:hAnsiTheme="majorEastAsia" w:eastAsiaTheme="majorEastAsia"/>
          <w:b/>
          <w:spacing w:val="-14"/>
          <w:sz w:val="44"/>
          <w:szCs w:val="44"/>
        </w:rPr>
      </w:pPr>
    </w:p>
    <w:p>
      <w:pPr>
        <w:spacing w:line="560" w:lineRule="exact"/>
        <w:ind w:firstLine="827" w:firstLineChars="200"/>
        <w:jc w:val="center"/>
        <w:rPr>
          <w:rFonts w:asciiTheme="majorEastAsia" w:hAnsiTheme="majorEastAsia" w:eastAsiaTheme="majorEastAsia"/>
          <w:b/>
          <w:spacing w:val="-14"/>
          <w:sz w:val="44"/>
          <w:szCs w:val="44"/>
        </w:rPr>
      </w:pPr>
    </w:p>
    <w:p>
      <w:pPr>
        <w:spacing w:line="560" w:lineRule="exact"/>
        <w:ind w:firstLine="827" w:firstLineChars="200"/>
        <w:jc w:val="center"/>
        <w:rPr>
          <w:rFonts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ind w:firstLine="827" w:firstLineChars="200"/>
        <w:jc w:val="center"/>
        <w:rPr>
          <w:rFonts w:hint="eastAsia" w:asciiTheme="majorEastAsia" w:hAnsiTheme="majorEastAsia" w:eastAsiaTheme="majorEastAsia"/>
          <w:b/>
          <w:spacing w:val="-14"/>
          <w:sz w:val="44"/>
          <w:szCs w:val="44"/>
        </w:rPr>
      </w:pPr>
    </w:p>
    <w:p>
      <w:pPr>
        <w:spacing w:line="560" w:lineRule="exact"/>
        <w:jc w:val="center"/>
        <w:rPr>
          <w:rFonts w:asciiTheme="majorEastAsia" w:hAnsiTheme="majorEastAsia" w:eastAsiaTheme="majorEastAsia"/>
          <w:b/>
          <w:spacing w:val="-14"/>
          <w:sz w:val="44"/>
          <w:szCs w:val="44"/>
        </w:rPr>
      </w:pPr>
      <w:r>
        <w:rPr>
          <w:rFonts w:hint="eastAsia" w:asciiTheme="majorEastAsia" w:hAnsiTheme="majorEastAsia" w:eastAsiaTheme="majorEastAsia"/>
          <w:b/>
          <w:spacing w:val="-14"/>
          <w:sz w:val="44"/>
          <w:szCs w:val="44"/>
        </w:rPr>
        <w:t>关于2021年市级国有资本经营收支预算情况的说明</w:t>
      </w:r>
    </w:p>
    <w:p>
      <w:pPr>
        <w:spacing w:line="560" w:lineRule="exact"/>
        <w:ind w:firstLine="584" w:firstLineChars="200"/>
        <w:rPr>
          <w:rFonts w:ascii="FangSong" w:hAnsi="FangSong" w:eastAsia="FangSong"/>
          <w:spacing w:val="-14"/>
          <w:sz w:val="32"/>
          <w:szCs w:val="32"/>
        </w:rPr>
      </w:pPr>
      <w:r>
        <w:rPr>
          <w:rFonts w:hint="eastAsia" w:ascii="宋体" w:hAnsi="宋体" w:eastAsia="宋体" w:cs="宋体"/>
          <w:spacing w:val="-14"/>
          <w:sz w:val="32"/>
          <w:szCs w:val="32"/>
        </w:rPr>
        <w:t> </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由于我市本级国有资本经营预算收入较少，在编制2021年预算时与一般公共预算合并编列。</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hint="eastAsia" w:asciiTheme="majorEastAsia" w:hAnsiTheme="majorEastAsia" w:eastAsiaTheme="majorEastAsia"/>
          <w:b/>
          <w:spacing w:val="-12"/>
          <w:sz w:val="44"/>
          <w:szCs w:val="44"/>
        </w:rPr>
      </w:pPr>
    </w:p>
    <w:p>
      <w:pPr>
        <w:spacing w:line="560" w:lineRule="exact"/>
        <w:ind w:firstLine="835" w:firstLineChars="200"/>
        <w:jc w:val="center"/>
        <w:rPr>
          <w:rFonts w:asciiTheme="majorEastAsia" w:hAnsiTheme="majorEastAsia" w:eastAsiaTheme="majorEastAsia"/>
          <w:b/>
          <w:spacing w:val="-12"/>
          <w:sz w:val="44"/>
          <w:szCs w:val="44"/>
        </w:rPr>
      </w:pPr>
      <w:r>
        <w:rPr>
          <w:rFonts w:hint="eastAsia" w:asciiTheme="majorEastAsia" w:hAnsiTheme="majorEastAsia" w:eastAsiaTheme="majorEastAsia"/>
          <w:b/>
          <w:spacing w:val="-12"/>
          <w:sz w:val="44"/>
          <w:szCs w:val="44"/>
        </w:rPr>
        <w:t>关于2021年市级社会保险基金收支预算情况的说明</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napToGrid w:val="0"/>
        <w:spacing w:line="520" w:lineRule="exact"/>
        <w:ind w:firstLine="643" w:firstLineChars="200"/>
        <w:rPr>
          <w:rFonts w:ascii="KaiTi_GB2312" w:hAnsi="Calibri" w:eastAsia="KaiTi_GB2312" w:cs="Times New Roman"/>
          <w:b/>
          <w:color w:val="000000"/>
          <w:sz w:val="32"/>
          <w:szCs w:val="32"/>
        </w:rPr>
      </w:pPr>
      <w:r>
        <w:rPr>
          <w:rFonts w:hint="eastAsia" w:ascii="KaiTi_GB2312" w:hAnsi="Calibri" w:eastAsia="KaiTi_GB2312" w:cs="Times New Roman"/>
          <w:b/>
          <w:color w:val="000000"/>
          <w:sz w:val="32"/>
          <w:szCs w:val="32"/>
        </w:rPr>
        <w:t>（一）编制说明</w:t>
      </w:r>
    </w:p>
    <w:p>
      <w:pPr>
        <w:snapToGrid w:val="0"/>
        <w:spacing w:line="560" w:lineRule="exact"/>
        <w:ind w:firstLine="640" w:firstLineChars="200"/>
        <w:rPr>
          <w:rFonts w:hint="eastAsia" w:ascii="FangSong_GB2312" w:hAnsi="Calibri" w:eastAsia="FangSong_GB2312" w:cs="Times New Roman"/>
          <w:color w:val="000000"/>
          <w:sz w:val="32"/>
          <w:szCs w:val="32"/>
        </w:rPr>
      </w:pPr>
      <w:r>
        <w:rPr>
          <w:rFonts w:hint="eastAsia" w:ascii="FangSong_GB2312" w:hAnsi="Calibri" w:eastAsia="FangSong_GB2312" w:cs="Times New Roman"/>
          <w:color w:val="000000"/>
          <w:sz w:val="32"/>
          <w:szCs w:val="32"/>
        </w:rPr>
        <w:t>2021年市级社会保险基金预算单独编报，与一般公共预算、政府性基金预算相对独立，有机衔接。编制的</w:t>
      </w:r>
      <w:r>
        <w:rPr>
          <w:rFonts w:hint="eastAsia" w:ascii="FangSong_GB2312" w:hAnsi="宋体" w:eastAsia="FangSong_GB2312" w:cs="Times New Roman"/>
          <w:color w:val="000000"/>
          <w:sz w:val="32"/>
          <w:szCs w:val="32"/>
        </w:rPr>
        <w:t>总体原则是：“统筹兼顾、收支平衡、略有结余”，</w:t>
      </w:r>
      <w:r>
        <w:rPr>
          <w:rFonts w:hint="eastAsia" w:ascii="FangSong_GB2312" w:hAnsi="Arial" w:eastAsia="FangSong_GB2312" w:cs="Arial"/>
          <w:color w:val="000000"/>
          <w:kern w:val="0"/>
          <w:sz w:val="32"/>
          <w:szCs w:val="32"/>
        </w:rPr>
        <w:t>编制范围包括机关事业单位基本养老保险基金、城乡居民基本养老保险基金、城乡居民基本医疗保险基金、职工基本医疗保险基金（含生育保险基金）。工伤保险基金、失业保险基金、</w:t>
      </w:r>
      <w:r>
        <w:rPr>
          <w:rFonts w:hint="eastAsia" w:ascii="FangSong_GB2312" w:hAnsi="Calibri" w:eastAsia="FangSong_GB2312" w:cs="Times New Roman"/>
          <w:color w:val="000000"/>
          <w:sz w:val="32"/>
          <w:szCs w:val="32"/>
        </w:rPr>
        <w:t>企业养老保险基金实行上级统筹，由上级统一编制和批复。</w:t>
      </w:r>
    </w:p>
    <w:p>
      <w:pPr>
        <w:snapToGrid w:val="0"/>
        <w:spacing w:line="520" w:lineRule="exact"/>
        <w:ind w:firstLine="643" w:firstLineChars="200"/>
        <w:rPr>
          <w:rFonts w:ascii="KaiTi_GB2312" w:hAnsi="Calibri" w:eastAsia="KaiTi_GB2312" w:cs="Times New Roman"/>
          <w:b/>
          <w:color w:val="000000"/>
          <w:sz w:val="32"/>
          <w:szCs w:val="32"/>
        </w:rPr>
      </w:pPr>
      <w:r>
        <w:rPr>
          <w:rFonts w:hint="eastAsia" w:ascii="KaiTi_GB2312" w:hAnsi="Calibri" w:eastAsia="KaiTi_GB2312" w:cs="Times New Roman"/>
          <w:b/>
          <w:color w:val="000000"/>
          <w:sz w:val="32"/>
          <w:szCs w:val="32"/>
        </w:rPr>
        <w:t>（二）社会保险基金收支预算情况</w:t>
      </w:r>
    </w:p>
    <w:p>
      <w:pPr>
        <w:spacing w:line="580" w:lineRule="exact"/>
        <w:ind w:firstLine="640" w:firstLineChars="200"/>
        <w:rPr>
          <w:rFonts w:hint="eastAsia" w:ascii="FangSong_GB2312" w:hAnsi="Calibri" w:eastAsia="FangSong_GB2312" w:cs="Times New Roman"/>
          <w:sz w:val="32"/>
          <w:szCs w:val="32"/>
        </w:rPr>
      </w:pPr>
      <w:r>
        <w:rPr>
          <w:rFonts w:hint="eastAsia" w:ascii="FangSong_GB2312" w:hAnsi="Calibri" w:eastAsia="FangSong_GB2312" w:cs="Times New Roman"/>
          <w:sz w:val="32"/>
          <w:szCs w:val="32"/>
        </w:rPr>
        <w:t>2021年全市社保基金收入预算安排188602万元，其中：机关事业单位养老保险收入安排42964万元，城乡居民养老保险收入安排35660万元，城乡居民医疗保险收入安排90393万元，城镇职工基本医疗保险基金收入安排19585万元（原生育保险基金并入职工基本医疗保险基金）。</w:t>
      </w:r>
    </w:p>
    <w:p>
      <w:pPr>
        <w:spacing w:line="580" w:lineRule="exact"/>
        <w:ind w:firstLine="640" w:firstLineChars="200"/>
        <w:rPr>
          <w:rFonts w:hint="eastAsia" w:ascii="FangSong_GB2312" w:hAnsi="Calibri" w:eastAsia="FangSong_GB2312" w:cs="Times New Roman"/>
          <w:sz w:val="32"/>
          <w:szCs w:val="32"/>
        </w:rPr>
      </w:pPr>
      <w:r>
        <w:rPr>
          <w:rFonts w:hint="eastAsia" w:ascii="FangSong_GB2312" w:hAnsi="Calibri" w:eastAsia="FangSong_GB2312" w:cs="Times New Roman"/>
          <w:sz w:val="32"/>
          <w:szCs w:val="32"/>
        </w:rPr>
        <w:t>2021年全市社保基金支出预算安排178474万元，其中：机关事业单位养老保险支出安排43525万元，城乡居民养老保险支出安排26677万元，城乡居民医疗保险支出安排97768万元，城镇职工基本医疗保险基金支出安排10504万元。</w:t>
      </w:r>
    </w:p>
    <w:p>
      <w:pPr>
        <w:snapToGrid w:val="0"/>
        <w:spacing w:line="520" w:lineRule="exact"/>
        <w:ind w:firstLine="640" w:firstLineChars="200"/>
        <w:rPr>
          <w:rFonts w:ascii="FangSong_GB2312" w:hAnsi="Times New Roman" w:eastAsia="FangSong_GB2312" w:cs="Times New Roman"/>
          <w:sz w:val="32"/>
          <w:szCs w:val="32"/>
        </w:rPr>
      </w:pPr>
    </w:p>
    <w:p>
      <w:pPr>
        <w:spacing w:line="560" w:lineRule="exact"/>
        <w:ind w:firstLine="640" w:firstLineChars="200"/>
        <w:rPr>
          <w:rFonts w:ascii="FangSong" w:hAnsi="FangSong" w:eastAsia="FangSong"/>
          <w:sz w:val="32"/>
          <w:szCs w:val="32"/>
        </w:rPr>
      </w:pPr>
    </w:p>
    <w:p>
      <w:pPr>
        <w:spacing w:line="560" w:lineRule="exact"/>
        <w:ind w:firstLine="640" w:firstLineChars="200"/>
        <w:rPr>
          <w:rFonts w:ascii="FangSong" w:hAnsi="FangSong" w:eastAsia="FangSong"/>
          <w:sz w:val="32"/>
          <w:szCs w:val="32"/>
        </w:rPr>
      </w:pPr>
    </w:p>
    <w:p>
      <w:pPr>
        <w:spacing w:line="560" w:lineRule="exact"/>
        <w:ind w:firstLine="883" w:firstLineChars="20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关于预算绩效工作开展情况的说明</w:t>
      </w:r>
    </w:p>
    <w:p>
      <w:pPr>
        <w:spacing w:line="560" w:lineRule="exact"/>
        <w:ind w:firstLine="640" w:firstLineChars="200"/>
        <w:rPr>
          <w:rFonts w:ascii="FangSong" w:hAnsi="FangSong" w:eastAsia="FangSong"/>
          <w:sz w:val="32"/>
          <w:szCs w:val="32"/>
        </w:rPr>
      </w:pPr>
    </w:p>
    <w:p>
      <w:pPr>
        <w:spacing w:line="560" w:lineRule="exact"/>
        <w:ind w:firstLine="640" w:firstLineChars="200"/>
        <w:rPr>
          <w:rFonts w:ascii="FangSong_GB2312" w:eastAsia="FangSong_GB2312" w:cs="FangSong_GB2312"/>
          <w:bCs/>
          <w:kern w:val="0"/>
          <w:sz w:val="32"/>
          <w:szCs w:val="32"/>
          <w:lang w:val="zh-CN"/>
        </w:rPr>
      </w:pPr>
      <w:r>
        <w:rPr>
          <w:rFonts w:hint="eastAsia" w:ascii="FangSong" w:hAnsi="FangSong" w:eastAsia="FangSong"/>
          <w:sz w:val="32"/>
          <w:szCs w:val="32"/>
        </w:rPr>
        <w:t>2021年，</w:t>
      </w:r>
      <w:r>
        <w:rPr>
          <w:rFonts w:hint="eastAsia" w:ascii="FangSong_GB2312" w:eastAsia="FangSong_GB2312" w:cs="FangSong_GB2312"/>
          <w:bCs/>
          <w:kern w:val="0"/>
          <w:sz w:val="32"/>
          <w:szCs w:val="32"/>
          <w:lang w:val="zh-CN"/>
        </w:rPr>
        <w:t>市财政在2020年度绩效工作开展的基础上，将进一步认真贯彻中央、省、市有关文件精神，着力以提升财政资金绩效为主线，以绩效目标实现为导向，以财政支出绩效评价为手段，以评价结果应用为保障，积极推进财政资金预算绩效管理工作，不断提高预算绩效管理工作的质量和水平，提高财政资金使用效益。</w:t>
      </w:r>
    </w:p>
    <w:p>
      <w:pPr>
        <w:spacing w:line="580" w:lineRule="exact"/>
        <w:ind w:firstLine="640" w:firstLineChars="200"/>
        <w:rPr>
          <w:rFonts w:ascii="SimHei" w:hAnsi="SimHei" w:eastAsia="SimHei" w:cs="FangSong_GB2312"/>
          <w:bCs/>
          <w:kern w:val="0"/>
          <w:sz w:val="32"/>
          <w:szCs w:val="32"/>
          <w:lang w:val="zh-CN"/>
        </w:rPr>
      </w:pPr>
      <w:r>
        <w:rPr>
          <w:rFonts w:hint="eastAsia" w:ascii="SimHei" w:hAnsi="SimHei" w:eastAsia="SimHei" w:cs="FangSong_GB2312"/>
          <w:bCs/>
          <w:kern w:val="0"/>
          <w:sz w:val="32"/>
          <w:szCs w:val="32"/>
          <w:lang w:val="zh-CN"/>
        </w:rPr>
        <w:t>一、全面实施预算项目绩效目标管理</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FangSong_GB2312"/>
          <w:bCs/>
          <w:kern w:val="0"/>
          <w:sz w:val="32"/>
          <w:szCs w:val="32"/>
          <w:lang w:val="zh-CN"/>
        </w:rPr>
        <w:t>一是加强预算编制绩效管理。一方面在预算编制过程中，我们实行“三级审核”制度，先由预算单位自审；再由归口业务科室对预算项目进行审核，包括立项依据、项目内容和目标、实施周期、投入总额、已投入金额、本年度预算目标和金额等，最后，我们对单位申报的预算项目进行全面梳理、加强审核、合理保障，所有项目必须有明细的资金测算和文件依据，对无具体内容、无明细支出测算的，或支出测算不够细化的项目，一律不予安排。</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Times New Roman"/>
          <w:sz w:val="32"/>
          <w:szCs w:val="32"/>
        </w:rPr>
        <w:t>另一方面，我们对照2018—2020年各预算单位预算执行情况，坚持“三清”原则，即清楚各预算单位“底数”情况、清楚项目的支出进度情况、清楚项目支出进度缓慢或未形成支出的原因，科学编制2021年的预算。对前三年支出不理想的项目，压减或不再列入2021 年预算编制，确保2021年预算编制做到科学、精准。</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FangSong_GB2312"/>
          <w:bCs/>
          <w:kern w:val="0"/>
          <w:sz w:val="32"/>
          <w:szCs w:val="32"/>
          <w:lang w:val="zh-CN"/>
        </w:rPr>
        <w:t>二是推进项目支出进度，积极推进项目绩效评价。为加快财政支出进度，我局召开专题会议。要求切实加大预算执行力度，</w:t>
      </w:r>
      <w:r>
        <w:rPr>
          <w:rFonts w:hint="eastAsia" w:ascii="FangSong_GB2312" w:hAnsi="Calibri" w:eastAsia="FangSong_GB2312" w:cs="Times New Roman"/>
          <w:sz w:val="32"/>
          <w:szCs w:val="32"/>
        </w:rPr>
        <w:t>采取扎实有效的措施，全力以赴，确保全年财政支出进度顺利推进。</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Times New Roman"/>
          <w:sz w:val="32"/>
          <w:szCs w:val="32"/>
        </w:rPr>
        <w:t>1、深入剖析原因。加强与对口单位联系与沟通，深入剖析各预算单位支出进度慢的原因，并与相关单位探讨和解决财政支出进度缓慢或者还没形成支出的困难。</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Times New Roman"/>
          <w:sz w:val="32"/>
          <w:szCs w:val="32"/>
        </w:rPr>
        <w:t>2、跟踪落实情况。在各专项资金下达各单位后，我们及时跟踪资金落实情况，注重提高财政资金使用的绩效，对财政资金进行有效监督，确保财政资金拨付和使用的安全和高效，防止片面追求进度、不讲效益的行为发生。</w:t>
      </w:r>
    </w:p>
    <w:p>
      <w:pPr>
        <w:spacing w:line="580" w:lineRule="exact"/>
        <w:ind w:firstLine="640" w:firstLineChars="200"/>
        <w:rPr>
          <w:rFonts w:ascii="FangSong_GB2312" w:hAnsi="Calibri" w:eastAsia="FangSong_GB2312" w:cs="Times New Roman"/>
          <w:sz w:val="32"/>
          <w:szCs w:val="32"/>
        </w:rPr>
      </w:pPr>
      <w:r>
        <w:rPr>
          <w:rFonts w:hint="eastAsia" w:ascii="FangSong_GB2312" w:hAnsi="Calibri" w:eastAsia="FangSong_GB2312" w:cs="Times New Roman"/>
          <w:sz w:val="32"/>
          <w:szCs w:val="32"/>
        </w:rPr>
        <w:t>3、建立问责机制。为加快财政支出进度，建立预算支出进度通报制度、约谈问责制度，加强对预算项目的监督使用，确保加快财政支出的制度落到实处，明确资金下达时间、资金存放位置、计划完成日期、工程进度、应拨付额、实际拨付额、未完成计划进度的原因等内容。对未实施和实施进度缓慢的项目，对责任单位下达正式文件，要求加快实施进度，确保按时完工。</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二、逐步扩大绩效管理范围</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在绩效目标管理方面，对于运转保障类项目较多的单位，探索实施单位整体支出绩效目标管理，实行整体支出评价。在项目绩效评价方面，逐步增加评价项目数量和项目支出数额占比。</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三、加强评价指标体系建设</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一是汇总梳理以前年度制定的指标，将符合当前预算绩效管理要求和行业管理特点的个性指标汇编成库；二是组织人员搜集整理先进省市制定出台的指标，进一步充实完善个性指标库；三是建立指标更新机制，将以后年度新制定的指标及时纳入指标库，做到随时更新、完善。</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四、积极运用绩效评价结果</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建立绩效评价结果的反馈与整改、激励与问责制度，进一步完善绩效评价结果的反馈和运用机制，将绩效结果向社会逐步公布，进一步增强单位的责任感和紧迫感。将评价结果作为安排以后年度预算的重要依据，将一些绩效评价结果不好的项目取消，对执行不力的单位的预算要进行相应削减，切实发挥绩效评价工作的应有作用。</w:t>
      </w:r>
    </w:p>
    <w:p>
      <w:pPr>
        <w:spacing w:line="560" w:lineRule="exact"/>
        <w:ind w:firstLine="640" w:firstLineChars="200"/>
        <w:rPr>
          <w:rFonts w:ascii="SimHei" w:hAnsi="SimHei" w:eastAsia="SimHei"/>
          <w:sz w:val="32"/>
          <w:szCs w:val="32"/>
        </w:rPr>
      </w:pPr>
      <w:r>
        <w:rPr>
          <w:rFonts w:hint="eastAsia" w:ascii="SimHei" w:hAnsi="SimHei" w:eastAsia="SimHei"/>
          <w:sz w:val="32"/>
          <w:szCs w:val="32"/>
        </w:rPr>
        <w:t>五、加强培训和指导</w:t>
      </w:r>
    </w:p>
    <w:p>
      <w:pPr>
        <w:spacing w:line="560" w:lineRule="exact"/>
        <w:ind w:firstLine="640" w:firstLineChars="200"/>
        <w:rPr>
          <w:rFonts w:ascii="FangSong" w:hAnsi="FangSong" w:eastAsia="FangSong"/>
          <w:sz w:val="32"/>
          <w:szCs w:val="32"/>
        </w:rPr>
      </w:pPr>
      <w:r>
        <w:rPr>
          <w:rFonts w:hint="eastAsia" w:ascii="FangSong" w:hAnsi="FangSong" w:eastAsia="FangSong"/>
          <w:sz w:val="32"/>
          <w:szCs w:val="32"/>
        </w:rPr>
        <w:t>采取集中学习、讲座、专题会议等方式，加大对财政部门和中介机构参与绩效评价的人员培训力度，进一步增强共识，充实业务知识。</w:t>
      </w: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spacing w:line="560" w:lineRule="exact"/>
        <w:ind w:firstLine="640" w:firstLineChars="200"/>
        <w:rPr>
          <w:rFonts w:ascii="FangSong" w:hAnsi="FangSong" w:eastAsia="FangSong"/>
          <w:sz w:val="32"/>
          <w:szCs w:val="32"/>
        </w:rPr>
      </w:pPr>
      <w:r>
        <w:rPr>
          <w:rFonts w:hint="eastAsia" w:ascii="宋体" w:hAnsi="宋体" w:eastAsia="宋体" w:cs="宋体"/>
          <w:sz w:val="32"/>
          <w:szCs w:val="32"/>
        </w:rPr>
        <w:t> </w:t>
      </w:r>
    </w:p>
    <w:p>
      <w:pPr>
        <w:ind w:firstLine="420" w:firstLineChars="20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FangSong_GB2312">
    <w:altName w:val="Times New Roman"/>
    <w:panose1 w:val="02010609030101010101"/>
    <w:charset w:val="86"/>
    <w:family w:val="modern"/>
    <w:pitch w:val="default"/>
    <w:sig w:usb0="00000000" w:usb1="00000000" w:usb2="00000000" w:usb3="00000000" w:csb0="00040000" w:csb1="00000000"/>
  </w:font>
  <w:font w:name="FangSong">
    <w:panose1 w:val="02010609060101010101"/>
    <w:charset w:val="86"/>
    <w:family w:val="modern"/>
    <w:pitch w:val="default"/>
    <w:sig w:usb0="800002BF" w:usb1="38CF7CFA" w:usb2="00000016" w:usb3="00000000" w:csb0="00040001" w:csb1="00000000"/>
  </w:font>
  <w:font w:name="KaiTi">
    <w:panose1 w:val="02010609060101010101"/>
    <w:charset w:val="86"/>
    <w:family w:val="modern"/>
    <w:pitch w:val="default"/>
    <w:sig w:usb0="800002BF" w:usb1="38CF7CFA" w:usb2="00000016" w:usb3="00000000" w:csb0="00040001" w:csb1="00000000"/>
  </w:font>
  <w:font w:name="KaiTi_GB2312">
    <w:altName w:val="KaiTi"/>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8EA753"/>
    <w:multiLevelType w:val="singleLevel"/>
    <w:tmpl w:val="8E8EA753"/>
    <w:lvl w:ilvl="0" w:tentative="0">
      <w:start w:val="1"/>
      <w:numFmt w:val="decimal"/>
      <w:suff w:val="nothing"/>
      <w:lvlText w:val="%1、"/>
      <w:lvlJc w:val="left"/>
    </w:lvl>
  </w:abstractNum>
  <w:abstractNum w:abstractNumId="1">
    <w:nsid w:val="1F85CD2C"/>
    <w:multiLevelType w:val="singleLevel"/>
    <w:tmpl w:val="1F85CD2C"/>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3F67"/>
    <w:rsid w:val="00017969"/>
    <w:rsid w:val="00032F1A"/>
    <w:rsid w:val="000467BF"/>
    <w:rsid w:val="000773A2"/>
    <w:rsid w:val="000F6505"/>
    <w:rsid w:val="00132D0E"/>
    <w:rsid w:val="0015013F"/>
    <w:rsid w:val="00163986"/>
    <w:rsid w:val="00171615"/>
    <w:rsid w:val="001778E8"/>
    <w:rsid w:val="00182F0A"/>
    <w:rsid w:val="0018734B"/>
    <w:rsid w:val="001935B6"/>
    <w:rsid w:val="001C09C1"/>
    <w:rsid w:val="0020161D"/>
    <w:rsid w:val="0020647A"/>
    <w:rsid w:val="002107F3"/>
    <w:rsid w:val="00245879"/>
    <w:rsid w:val="0026055D"/>
    <w:rsid w:val="00265D63"/>
    <w:rsid w:val="002664AA"/>
    <w:rsid w:val="00276C09"/>
    <w:rsid w:val="00291B94"/>
    <w:rsid w:val="002B251A"/>
    <w:rsid w:val="002D1F24"/>
    <w:rsid w:val="002D79D8"/>
    <w:rsid w:val="002F0129"/>
    <w:rsid w:val="00314704"/>
    <w:rsid w:val="00340608"/>
    <w:rsid w:val="00364256"/>
    <w:rsid w:val="003666AF"/>
    <w:rsid w:val="003A5CD5"/>
    <w:rsid w:val="003D022D"/>
    <w:rsid w:val="003D4C01"/>
    <w:rsid w:val="003E0622"/>
    <w:rsid w:val="003E5D37"/>
    <w:rsid w:val="004065EB"/>
    <w:rsid w:val="00414814"/>
    <w:rsid w:val="00461B87"/>
    <w:rsid w:val="004E55A9"/>
    <w:rsid w:val="004E7A15"/>
    <w:rsid w:val="0052004F"/>
    <w:rsid w:val="00522B31"/>
    <w:rsid w:val="0052596F"/>
    <w:rsid w:val="0054037E"/>
    <w:rsid w:val="00553B2E"/>
    <w:rsid w:val="0058594B"/>
    <w:rsid w:val="00597DA8"/>
    <w:rsid w:val="005B4350"/>
    <w:rsid w:val="005D7842"/>
    <w:rsid w:val="005F249F"/>
    <w:rsid w:val="005F688F"/>
    <w:rsid w:val="00681908"/>
    <w:rsid w:val="006D45FF"/>
    <w:rsid w:val="00723F67"/>
    <w:rsid w:val="007937AB"/>
    <w:rsid w:val="007B0285"/>
    <w:rsid w:val="007B5DA3"/>
    <w:rsid w:val="00856AA6"/>
    <w:rsid w:val="0086086F"/>
    <w:rsid w:val="00862DC2"/>
    <w:rsid w:val="00977F06"/>
    <w:rsid w:val="00986131"/>
    <w:rsid w:val="009924B8"/>
    <w:rsid w:val="009A4B17"/>
    <w:rsid w:val="009C7665"/>
    <w:rsid w:val="009D554E"/>
    <w:rsid w:val="00A45124"/>
    <w:rsid w:val="00A47C82"/>
    <w:rsid w:val="00A47E8A"/>
    <w:rsid w:val="00A6119D"/>
    <w:rsid w:val="00A64665"/>
    <w:rsid w:val="00A70B3E"/>
    <w:rsid w:val="00AC70B8"/>
    <w:rsid w:val="00B04268"/>
    <w:rsid w:val="00B1134A"/>
    <w:rsid w:val="00B14F2C"/>
    <w:rsid w:val="00B25323"/>
    <w:rsid w:val="00B37EDC"/>
    <w:rsid w:val="00B37F6D"/>
    <w:rsid w:val="00B50F89"/>
    <w:rsid w:val="00B8225D"/>
    <w:rsid w:val="00C963C5"/>
    <w:rsid w:val="00D20E54"/>
    <w:rsid w:val="00D46A45"/>
    <w:rsid w:val="00D551E2"/>
    <w:rsid w:val="00DB1544"/>
    <w:rsid w:val="00DE2878"/>
    <w:rsid w:val="00E26505"/>
    <w:rsid w:val="00E74506"/>
    <w:rsid w:val="00E82691"/>
    <w:rsid w:val="00EC2667"/>
    <w:rsid w:val="00EF34C6"/>
    <w:rsid w:val="00F233EC"/>
    <w:rsid w:val="00F3490D"/>
    <w:rsid w:val="00F50A67"/>
    <w:rsid w:val="00F84E0D"/>
    <w:rsid w:val="00F85E6B"/>
    <w:rsid w:val="00FD0408"/>
    <w:rsid w:val="00FD6C29"/>
    <w:rsid w:val="00FE5757"/>
    <w:rsid w:val="00FE7143"/>
    <w:rsid w:val="302C35A6"/>
    <w:rsid w:val="519C3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uiPriority w:val="99"/>
    <w:rPr>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BF123E1-D430-4243-974B-D97A02E92E7E}">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17</Pages>
  <Words>1082</Words>
  <Characters>6173</Characters>
  <Lines>51</Lines>
  <Paragraphs>14</Paragraphs>
  <TotalTime>763</TotalTime>
  <ScaleCrop>false</ScaleCrop>
  <LinksUpToDate>false</LinksUpToDate>
  <CharactersWithSpaces>7241</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2018-09-18T01:49:00Z</dcterms:created>
  <dc:creator>xbany</dc:creator>
  <cp:lastModifiedBy>才为天下谋（河南周普会计师事务所田泽雨）</cp:lastModifiedBy>
  <dcterms:modified xsi:type="dcterms:W3CDTF">2022-09-09T08:30:13Z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