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AB7FB">
      <w:pPr>
        <w:pStyle w:val="2"/>
        <w:snapToGrid w:val="0"/>
        <w:spacing w:after="0" w:line="579" w:lineRule="exact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黑体"/>
          <w:kern w:val="0"/>
          <w:sz w:val="30"/>
          <w:szCs w:val="30"/>
          <w:lang w:bidi="ar"/>
        </w:rPr>
        <w:t>附件4</w:t>
      </w:r>
    </w:p>
    <w:p w14:paraId="4AECBFA2">
      <w:pPr>
        <w:pStyle w:val="2"/>
        <w:snapToGrid w:val="0"/>
        <w:spacing w:after="0" w:line="579" w:lineRule="exact"/>
        <w:jc w:val="center"/>
        <w:rPr>
          <w:rFonts w:hint="eastAsia" w:ascii="仿宋" w:hAnsi="仿宋" w:eastAsia="仿宋" w:cs="黑体"/>
          <w:kern w:val="0"/>
          <w:sz w:val="30"/>
          <w:szCs w:val="30"/>
          <w:lang w:bidi="ar"/>
        </w:rPr>
      </w:pPr>
      <w:bookmarkStart w:id="0" w:name="_GoBack"/>
      <w:r>
        <w:rPr>
          <w:rFonts w:hint="eastAsia" w:ascii="方正小标宋简体" w:hAnsi="仿宋" w:eastAsia="方正小标宋简体" w:cs="方正小标宋简体"/>
          <w:sz w:val="36"/>
          <w:szCs w:val="36"/>
        </w:rPr>
        <w:t>项城市民政局按比例返还2025年福彩公益金使用</w:t>
      </w:r>
    </w:p>
    <w:p w14:paraId="5CDFB018">
      <w:pPr>
        <w:pStyle w:val="2"/>
        <w:snapToGrid w:val="0"/>
        <w:spacing w:after="0" w:line="580" w:lineRule="exact"/>
        <w:jc w:val="center"/>
        <w:rPr>
          <w:rFonts w:hint="eastAsia"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情况的公告</w:t>
      </w:r>
    </w:p>
    <w:bookmarkEnd w:id="0"/>
    <w:p w14:paraId="05203448">
      <w:pPr>
        <w:pStyle w:val="2"/>
        <w:snapToGrid w:val="0"/>
        <w:spacing w:after="0" w:line="580" w:lineRule="exact"/>
        <w:jc w:val="center"/>
        <w:rPr>
          <w:rFonts w:hint="eastAsia" w:ascii="仿宋" w:hAnsi="仿宋" w:eastAsia="仿宋" w:cs="方正小标宋简体"/>
          <w:sz w:val="30"/>
          <w:szCs w:val="30"/>
        </w:rPr>
      </w:pPr>
    </w:p>
    <w:p w14:paraId="59A09BAA">
      <w:pPr>
        <w:snapToGrid w:val="0"/>
        <w:spacing w:line="579" w:lineRule="exact"/>
        <w:ind w:firstLine="600" w:firstLineChars="200"/>
        <w:jc w:val="left"/>
        <w:rPr>
          <w:rFonts w:hint="eastAsia" w:ascii="仿宋" w:hAnsi="仿宋" w:eastAsia="仿宋" w:cs="黑体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2025年度项城市民政局使用2025年省级福彩公益金410万元。依据《民政部彩票公益金使用管理办法》</w:t>
      </w:r>
      <w:r>
        <w:rPr>
          <w:rFonts w:hint="eastAsia" w:ascii="仿宋" w:hAnsi="仿宋" w:eastAsia="仿宋" w:cs="FangSong_GB2312"/>
          <w:kern w:val="0"/>
          <w:sz w:val="30"/>
          <w:szCs w:val="30"/>
          <w:lang w:bidi="ar"/>
        </w:rPr>
        <w:t>民办发〔2024〕9号、</w:t>
      </w:r>
      <w:r>
        <w:rPr>
          <w:rFonts w:hint="eastAsia" w:ascii="仿宋" w:hAnsi="仿宋" w:eastAsia="仿宋" w:cs="FangSong_GB2312"/>
          <w:sz w:val="30"/>
          <w:szCs w:val="30"/>
        </w:rPr>
        <w:t>《河南省民政厅福利彩票公益金使用管理信息公开办法》等规定，现将2025年项目情况公告如下：</w:t>
      </w:r>
    </w:p>
    <w:p w14:paraId="05BD8226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1、项目单位：项城市民政局</w:t>
      </w:r>
    </w:p>
    <w:p w14:paraId="3960703D">
      <w:pPr>
        <w:pStyle w:val="3"/>
        <w:widowControl/>
        <w:snapToGrid w:val="0"/>
        <w:spacing w:before="0" w:beforeAutospacing="0" w:after="0" w:afterAutospacing="0" w:line="580" w:lineRule="exact"/>
        <w:ind w:firstLine="600" w:firstLineChars="200"/>
        <w:rPr>
          <w:rFonts w:ascii="仿宋" w:hAnsi="仿宋" w:eastAsia="仿宋" w:cs="FangSong_GB2312"/>
          <w:sz w:val="30"/>
          <w:szCs w:val="30"/>
          <w:lang w:bidi="ar"/>
        </w:rPr>
      </w:pPr>
      <w:r>
        <w:rPr>
          <w:rFonts w:hint="eastAsia" w:ascii="仿宋" w:hAnsi="仿宋" w:eastAsia="仿宋" w:cs="FangSong_GB2312"/>
          <w:sz w:val="30"/>
          <w:szCs w:val="30"/>
        </w:rPr>
        <w:t>2、项目主要内容：</w:t>
      </w:r>
      <w:r>
        <w:rPr>
          <w:rFonts w:hint="eastAsia" w:ascii="仿宋" w:hAnsi="仿宋" w:eastAsia="仿宋" w:cs="FangSong_GB2312"/>
          <w:bCs/>
          <w:color w:val="000000"/>
          <w:sz w:val="30"/>
          <w:szCs w:val="30"/>
          <w:lang w:bidi="ar"/>
        </w:rPr>
        <w:t>未实施</w:t>
      </w:r>
    </w:p>
    <w:p w14:paraId="0EDF8446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3、项目周期：1年</w:t>
      </w:r>
    </w:p>
    <w:p w14:paraId="4E8DC345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4、资金额度：410万</w:t>
      </w:r>
    </w:p>
    <w:p w14:paraId="17278528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5、项目负责人：项目未实施</w:t>
      </w:r>
    </w:p>
    <w:p w14:paraId="20ACCE37">
      <w:pPr>
        <w:pStyle w:val="2"/>
        <w:snapToGrid w:val="0"/>
        <w:spacing w:after="0" w:line="580" w:lineRule="exact"/>
        <w:ind w:firstLine="600" w:firstLineChars="200"/>
        <w:jc w:val="left"/>
        <w:rPr>
          <w:rFonts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6、联系方式：0394-4321863</w:t>
      </w:r>
    </w:p>
    <w:p w14:paraId="1181EE07">
      <w:pPr>
        <w:pStyle w:val="2"/>
        <w:snapToGrid w:val="0"/>
        <w:spacing w:after="0" w:line="580" w:lineRule="exact"/>
        <w:ind w:firstLine="600" w:firstLineChars="200"/>
        <w:jc w:val="left"/>
        <w:rPr>
          <w:rFonts w:hint="eastAsia" w:ascii="仿宋" w:hAnsi="仿宋" w:eastAsia="仿宋" w:cs="FangSong_GB2312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7、项目完成情况：项目未完成</w:t>
      </w:r>
    </w:p>
    <w:p w14:paraId="573D940A">
      <w:pPr>
        <w:spacing w:line="600" w:lineRule="exact"/>
        <w:ind w:firstLine="600" w:firstLineChars="200"/>
        <w:rPr>
          <w:rFonts w:ascii="仿宋" w:hAnsi="仿宋" w:eastAsia="仿宋" w:cs="方正楷体_GBK"/>
          <w:sz w:val="30"/>
          <w:szCs w:val="30"/>
        </w:rPr>
      </w:pPr>
      <w:r>
        <w:rPr>
          <w:rFonts w:hint="eastAsia" w:ascii="仿宋" w:hAnsi="仿宋" w:eastAsia="仿宋" w:cs="FangSong_GB2312"/>
          <w:sz w:val="30"/>
          <w:szCs w:val="30"/>
        </w:rPr>
        <w:t>8、实际效果：项目暂未实施。</w:t>
      </w:r>
    </w:p>
    <w:p w14:paraId="29DBD2E2">
      <w:pPr>
        <w:pStyle w:val="2"/>
      </w:pPr>
    </w:p>
    <w:p w14:paraId="5F4729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altName w:val="微软雅黑"/>
    <w:panose1 w:val="02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076F8"/>
    <w:rsid w:val="6320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2026-06-24T09:39:00Z</dcterms:created>
  <dc:creator>钮衣谷琉</dc:creator>
  <cp:lastModifiedBy>钮衣谷琉</cp:lastModifiedBy>
  <dcterms:modified xsi:type="dcterms:W3CDTF">2026-06-24T09:42:07Z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DB3C61E2850C466586B6A98DEA15901D_11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