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8D3D32">
      <w:pPr>
        <w:jc w:val="center"/>
        <w:rPr>
          <w:rFonts w:ascii="方正小标宋简体" w:eastAsia="方正小标宋简体"/>
          <w:sz w:val="40"/>
          <w:szCs w:val="44"/>
        </w:rPr>
      </w:pPr>
      <w:r>
        <w:rPr>
          <w:rFonts w:ascii="方正小标宋简体" w:eastAsia="方正小标宋简体"/>
          <w:sz w:val="40"/>
          <w:szCs w:val="44"/>
        </w:rPr>
        <w:t>2022年普通高中学生助学金项目</w:t>
      </w:r>
    </w:p>
    <w:p w14:paraId="11B17EB2">
      <w:pPr>
        <w:jc w:val="center"/>
        <w:rPr>
          <w:rFonts w:ascii="方正小标宋简体" w:eastAsia="方正小标宋简体"/>
          <w:sz w:val="40"/>
          <w:szCs w:val="44"/>
        </w:rPr>
      </w:pPr>
      <w:r>
        <w:rPr>
          <w:rFonts w:ascii="方正小标宋简体" w:eastAsia="方正小标宋简体"/>
          <w:sz w:val="40"/>
          <w:szCs w:val="44"/>
        </w:rPr>
        <w:t>绩效评价报告</w:t>
      </w:r>
    </w:p>
    <w:p w14:paraId="4E99FB38">
      <w:pPr>
        <w:ind w:firstLine="640" w:firstLineChars="200"/>
        <w:jc w:val="left"/>
        <w:rPr>
          <w:rFonts w:hint="eastAsia" w:ascii="黑体" w:hAnsi="黑体" w:eastAsia="黑体"/>
          <w:sz w:val="32"/>
          <w:szCs w:val="36"/>
        </w:rPr>
      </w:pPr>
    </w:p>
    <w:p w14:paraId="47224E24">
      <w:pPr>
        <w:ind w:firstLine="640" w:firstLineChars="200"/>
        <w:jc w:val="left"/>
        <w:rPr>
          <w:rFonts w:ascii="黑体" w:hAnsi="黑体" w:eastAsia="黑体"/>
          <w:sz w:val="32"/>
          <w:szCs w:val="36"/>
        </w:rPr>
      </w:pPr>
      <w:r>
        <w:rPr>
          <w:rFonts w:hint="eastAsia" w:ascii="黑体" w:hAnsi="黑体" w:eastAsia="黑体"/>
          <w:sz w:val="32"/>
          <w:szCs w:val="36"/>
        </w:rPr>
        <w:t>一、项目概况</w:t>
      </w:r>
    </w:p>
    <w:p w14:paraId="45773968">
      <w:pPr>
        <w:ind w:firstLine="640" w:firstLineChars="200"/>
        <w:jc w:val="left"/>
        <w:rPr>
          <w:rFonts w:ascii="仿宋_GB2312" w:hAnsi="黑体" w:eastAsia="仿宋_GB2312"/>
          <w:sz w:val="32"/>
          <w:szCs w:val="36"/>
        </w:rPr>
      </w:pPr>
      <w:r>
        <w:rPr>
          <w:rFonts w:ascii="仿宋_GB2312" w:hAnsi="黑体" w:eastAsia="仿宋_GB2312"/>
          <w:sz w:val="32"/>
          <w:szCs w:val="36"/>
        </w:rPr>
        <w:t>1.项目依据及背景</w:t>
      </w:r>
    </w:p>
    <w:p w14:paraId="729EB6A7">
      <w:pPr>
        <w:ind w:firstLine="640" w:firstLineChars="200"/>
        <w:jc w:val="left"/>
        <w:rPr>
          <w:rFonts w:ascii="仿宋_GB2312" w:hAnsi="黑体" w:eastAsia="仿宋_GB2312"/>
          <w:sz w:val="32"/>
          <w:szCs w:val="36"/>
        </w:rPr>
      </w:pPr>
      <w:r>
        <w:rPr>
          <w:rFonts w:hint="eastAsia" w:ascii="仿宋_GB2312" w:hAnsi="黑体" w:eastAsia="仿宋_GB2312"/>
          <w:sz w:val="32"/>
          <w:szCs w:val="36"/>
        </w:rPr>
        <w:t>国运兴衰，系于教育；教育振兴，全民有责。党和国家始终坚持把教育摆在优先发展的位置。设立普通高中家庭经济困难学生国家助学金，是实施科教兴国和人才强国战略，优化教育结构，加快普及高中阶段教育的有效手段，对于完善国家资助政策体系，帮助家庭经济困难学生顺利完成学业，促进教育公平，具有重大意义。为贯彻落实《国家中长期教育改革和发展规划纲要（</w:t>
      </w:r>
      <w:r>
        <w:rPr>
          <w:rFonts w:ascii="仿宋_GB2312" w:hAnsi="黑体" w:eastAsia="仿宋_GB2312"/>
          <w:sz w:val="32"/>
          <w:szCs w:val="36"/>
        </w:rPr>
        <w:t>2010—2020 年）》（中发〔2010〕12 号）精神，完善国家资助政策体系，从2010 年秋季学期</w:t>
      </w:r>
      <w:r>
        <w:rPr>
          <w:rFonts w:hint="eastAsia" w:ascii="仿宋_GB2312" w:hAnsi="黑体" w:eastAsia="仿宋_GB2312"/>
          <w:sz w:val="32"/>
          <w:szCs w:val="36"/>
        </w:rPr>
        <w:t>起，中央与地方共同设立国家助学金，用于资助普通高中在校生中的家庭经济困难学生。</w:t>
      </w:r>
    </w:p>
    <w:p w14:paraId="627A8F0F">
      <w:pPr>
        <w:ind w:firstLine="640" w:firstLineChars="200"/>
        <w:jc w:val="left"/>
        <w:rPr>
          <w:rFonts w:ascii="仿宋_GB2312" w:hAnsi="黑体" w:eastAsia="仿宋_GB2312"/>
          <w:sz w:val="32"/>
          <w:szCs w:val="36"/>
        </w:rPr>
      </w:pPr>
      <w:r>
        <w:rPr>
          <w:rFonts w:hint="eastAsia" w:ascii="仿宋_GB2312" w:hAnsi="黑体" w:eastAsia="仿宋_GB2312"/>
          <w:sz w:val="32"/>
          <w:szCs w:val="36"/>
        </w:rPr>
        <w:t>项城市财政局、教育体育局、项城市学生资助中心积极响应上级要求，严格落实教育部等六部门《关于做好家庭经济困难学生认定工作的指导意见》（教财〔</w:t>
      </w:r>
      <w:r>
        <w:rPr>
          <w:rFonts w:ascii="仿宋_GB2312" w:hAnsi="黑体" w:eastAsia="仿宋_GB2312"/>
          <w:sz w:val="32"/>
          <w:szCs w:val="36"/>
        </w:rPr>
        <w:t>2018〕16 号）、</w:t>
      </w:r>
      <w:r>
        <w:rPr>
          <w:rFonts w:hint="eastAsia" w:ascii="仿宋_GB2312" w:hAnsi="黑体" w:eastAsia="仿宋_GB2312"/>
          <w:sz w:val="32"/>
          <w:szCs w:val="36"/>
        </w:rPr>
        <w:t>周口市教育局《周口市普通高中国家助学金管理实施细则》（教资助〔</w:t>
      </w:r>
      <w:r>
        <w:rPr>
          <w:rFonts w:ascii="仿宋_GB2312" w:hAnsi="黑体" w:eastAsia="仿宋_GB2312"/>
          <w:sz w:val="32"/>
          <w:szCs w:val="36"/>
        </w:rPr>
        <w:t>2015〕331 号）的要求，明确高中国家助学金实</w:t>
      </w:r>
      <w:r>
        <w:rPr>
          <w:rFonts w:hint="eastAsia" w:ascii="仿宋_GB2312" w:hAnsi="黑体" w:eastAsia="仿宋_GB2312"/>
          <w:sz w:val="32"/>
          <w:szCs w:val="36"/>
        </w:rPr>
        <w:t>施范围、资助标准及其他各项工作，确保完成本年度对家庭经济困难学生的资助工作。</w:t>
      </w:r>
    </w:p>
    <w:p w14:paraId="12CF19C7">
      <w:pPr>
        <w:ind w:firstLine="640" w:firstLineChars="200"/>
        <w:jc w:val="left"/>
        <w:rPr>
          <w:rFonts w:ascii="仿宋_GB2312" w:hAnsi="黑体" w:eastAsia="仿宋_GB2312"/>
          <w:sz w:val="32"/>
          <w:szCs w:val="36"/>
        </w:rPr>
      </w:pPr>
      <w:r>
        <w:rPr>
          <w:rFonts w:ascii="仿宋_GB2312" w:hAnsi="黑体" w:eastAsia="仿宋_GB2312"/>
          <w:sz w:val="32"/>
          <w:szCs w:val="36"/>
        </w:rPr>
        <w:t>2.项目主要内容</w:t>
      </w:r>
    </w:p>
    <w:p w14:paraId="3EAB9364">
      <w:pPr>
        <w:ind w:firstLine="640" w:firstLineChars="200"/>
        <w:jc w:val="left"/>
        <w:rPr>
          <w:rFonts w:ascii="仿宋_GB2312" w:hAnsi="黑体" w:eastAsia="仿宋_GB2312"/>
          <w:sz w:val="32"/>
          <w:szCs w:val="36"/>
        </w:rPr>
      </w:pPr>
      <w:r>
        <w:rPr>
          <w:rFonts w:hint="eastAsia" w:ascii="仿宋_GB2312" w:hAnsi="黑体" w:eastAsia="仿宋_GB2312"/>
          <w:sz w:val="32"/>
          <w:szCs w:val="36"/>
        </w:rPr>
        <w:t>项城市学生资助中心负责实施项城市</w:t>
      </w:r>
      <w:r>
        <w:rPr>
          <w:rFonts w:ascii="仿宋_GB2312" w:hAnsi="黑体" w:eastAsia="仿宋_GB2312"/>
          <w:sz w:val="32"/>
          <w:szCs w:val="36"/>
        </w:rPr>
        <w:t>2022 年普通高中</w:t>
      </w:r>
      <w:r>
        <w:rPr>
          <w:rFonts w:hint="eastAsia" w:ascii="仿宋_GB2312" w:hAnsi="黑体" w:eastAsia="仿宋_GB2312"/>
          <w:sz w:val="32"/>
          <w:szCs w:val="36"/>
        </w:rPr>
        <w:t>助学金项目，负责学生申报评审的检查、审核、资金发放等执行与监控工作。资助对象为具有正式注册学籍的普通高中在校生中的家庭经济困难学生。受助学生数按照不超过在籍在校生总数的</w:t>
      </w:r>
      <w:r>
        <w:rPr>
          <w:rFonts w:ascii="仿宋_GB2312" w:hAnsi="黑体" w:eastAsia="仿宋_GB2312"/>
          <w:sz w:val="32"/>
          <w:szCs w:val="36"/>
        </w:rPr>
        <w:t>20%确定。普通高中国家助学金资助标准为每</w:t>
      </w:r>
      <w:r>
        <w:rPr>
          <w:rFonts w:hint="eastAsia" w:ascii="仿宋_GB2312" w:hAnsi="黑体" w:eastAsia="仿宋_GB2312"/>
          <w:sz w:val="32"/>
          <w:szCs w:val="36"/>
        </w:rPr>
        <w:t>生每年</w:t>
      </w:r>
      <w:r>
        <w:rPr>
          <w:rFonts w:ascii="仿宋_GB2312" w:hAnsi="黑体" w:eastAsia="仿宋_GB2312"/>
          <w:sz w:val="32"/>
          <w:szCs w:val="36"/>
        </w:rPr>
        <w:t>2000 元（每生每学期1000 元），具体标准为一档1500</w:t>
      </w:r>
      <w:r>
        <w:rPr>
          <w:rFonts w:hint="eastAsia" w:ascii="仿宋_GB2312" w:hAnsi="黑体" w:eastAsia="仿宋_GB2312"/>
          <w:sz w:val="32"/>
          <w:szCs w:val="36"/>
        </w:rPr>
        <w:t>元</w:t>
      </w:r>
      <w:r>
        <w:rPr>
          <w:rFonts w:ascii="仿宋_GB2312" w:hAnsi="黑体" w:eastAsia="仿宋_GB2312"/>
          <w:sz w:val="32"/>
          <w:szCs w:val="36"/>
        </w:rPr>
        <w:t>/学期、二档1000 元/学期、三档750 元/学期。</w:t>
      </w:r>
      <w:r>
        <w:rPr>
          <w:rFonts w:hint="eastAsia" w:ascii="仿宋_GB2312" w:hAnsi="黑体" w:eastAsia="仿宋_GB2312"/>
          <w:sz w:val="32"/>
          <w:szCs w:val="36"/>
        </w:rPr>
        <w:t>学校实行校长负责制，成立专门机构，确定专职人员，对贫困生标准进行审核、公示，无异议后填写《周口市普通高中国家助学金受助学生明细表》，严格按照要求的时间上报电子版和纸质材料（加盖公章）逐级上报给学生资助管理中心，资助中心审核后向财政部门申请授权支付，资助资金采取由“财政专户</w:t>
      </w:r>
      <w:r>
        <w:rPr>
          <w:rFonts w:ascii="仿宋_GB2312" w:hAnsi="黑体" w:eastAsia="仿宋_GB2312"/>
          <w:sz w:val="32"/>
          <w:szCs w:val="36"/>
        </w:rPr>
        <w:t>-学生自资助卡”的发放方式。</w:t>
      </w:r>
    </w:p>
    <w:p w14:paraId="21326D47">
      <w:pPr>
        <w:ind w:firstLine="640" w:firstLineChars="200"/>
        <w:jc w:val="left"/>
        <w:rPr>
          <w:rFonts w:ascii="黑体" w:hAnsi="黑体" w:eastAsia="黑体"/>
          <w:sz w:val="32"/>
          <w:szCs w:val="36"/>
        </w:rPr>
      </w:pPr>
      <w:r>
        <w:rPr>
          <w:rFonts w:hint="eastAsia" w:ascii="黑体" w:hAnsi="黑体" w:eastAsia="黑体"/>
          <w:sz w:val="32"/>
          <w:szCs w:val="36"/>
        </w:rPr>
        <w:t>二、</w:t>
      </w:r>
      <w:r>
        <w:rPr>
          <w:rFonts w:ascii="黑体" w:hAnsi="黑体" w:eastAsia="黑体"/>
          <w:sz w:val="32"/>
          <w:szCs w:val="36"/>
        </w:rPr>
        <w:t>评价结论</w:t>
      </w:r>
    </w:p>
    <w:p w14:paraId="24E378C4">
      <w:pPr>
        <w:ind w:firstLine="640" w:firstLineChars="200"/>
        <w:jc w:val="left"/>
        <w:rPr>
          <w:rFonts w:ascii="仿宋_GB2312" w:hAnsi="黑体" w:eastAsia="仿宋_GB2312"/>
          <w:sz w:val="32"/>
          <w:szCs w:val="36"/>
        </w:rPr>
      </w:pPr>
      <w:r>
        <w:rPr>
          <w:rFonts w:hint="eastAsia" w:ascii="仿宋_GB2312" w:hAnsi="黑体" w:eastAsia="仿宋_GB2312"/>
          <w:sz w:val="32"/>
          <w:szCs w:val="36"/>
        </w:rPr>
        <w:t>评价组通过基础数据表、问卷调查、访谈、现场核查获取的数据，对</w:t>
      </w:r>
      <w:r>
        <w:rPr>
          <w:rFonts w:ascii="仿宋_GB2312" w:hAnsi="黑体" w:eastAsia="仿宋_GB2312"/>
          <w:sz w:val="32"/>
          <w:szCs w:val="36"/>
        </w:rPr>
        <w:t>2022年普通高中学生助学金项目</w:t>
      </w:r>
      <w:r>
        <w:rPr>
          <w:rFonts w:hint="eastAsia" w:ascii="仿宋_GB2312" w:hAnsi="黑体" w:eastAsia="仿宋_GB2312"/>
          <w:sz w:val="32"/>
          <w:szCs w:val="36"/>
        </w:rPr>
        <w:t>进行了独立客观的评价。本次项目绩效评价得分为</w:t>
      </w:r>
      <w:r>
        <w:rPr>
          <w:rFonts w:ascii="仿宋_GB2312" w:hAnsi="黑体" w:eastAsia="仿宋_GB2312"/>
          <w:sz w:val="32"/>
          <w:szCs w:val="36"/>
        </w:rPr>
        <w:t>90</w:t>
      </w:r>
      <w:r>
        <w:rPr>
          <w:rFonts w:hint="eastAsia" w:ascii="仿宋_GB2312" w:hAnsi="黑体" w:eastAsia="仿宋_GB2312"/>
          <w:sz w:val="32"/>
          <w:szCs w:val="36"/>
        </w:rPr>
        <w:t>分，根据《项目支出绩效评价管理办法》(财预〔2020〕10号)等级划分总得分在90分以上的为“优”；在80分至90分(不含，下同)之间的为“良”；在60分至80分之间的为“中”；低于60分的为“差”，本项目绩效等级为“优”。</w:t>
      </w:r>
    </w:p>
    <w:p w14:paraId="4ECFCF54">
      <w:pPr>
        <w:ind w:firstLine="640" w:firstLineChars="200"/>
        <w:jc w:val="left"/>
        <w:rPr>
          <w:rFonts w:ascii="黑体" w:hAnsi="黑体" w:eastAsia="黑体"/>
          <w:sz w:val="32"/>
          <w:szCs w:val="36"/>
        </w:rPr>
      </w:pPr>
      <w:r>
        <w:rPr>
          <w:rFonts w:hint="eastAsia" w:ascii="黑体" w:hAnsi="黑体" w:eastAsia="黑体"/>
          <w:sz w:val="32"/>
          <w:szCs w:val="36"/>
        </w:rPr>
        <w:t>三、</w:t>
      </w:r>
      <w:r>
        <w:rPr>
          <w:rFonts w:ascii="黑体" w:hAnsi="黑体" w:eastAsia="黑体"/>
          <w:sz w:val="32"/>
          <w:szCs w:val="36"/>
        </w:rPr>
        <w:t>存在的问题类型</w:t>
      </w:r>
    </w:p>
    <w:p w14:paraId="4893D38E">
      <w:pPr>
        <w:ind w:firstLine="640" w:firstLineChars="200"/>
        <w:jc w:val="left"/>
        <w:rPr>
          <w:rFonts w:ascii="仿宋_GB2312" w:hAnsi="黑体" w:eastAsia="仿宋_GB2312"/>
          <w:sz w:val="32"/>
          <w:szCs w:val="36"/>
        </w:rPr>
      </w:pPr>
      <w:r>
        <w:rPr>
          <w:rFonts w:hint="eastAsia" w:ascii="仿宋_GB2312" w:hAnsi="黑体" w:eastAsia="仿宋_GB2312"/>
          <w:sz w:val="32"/>
          <w:szCs w:val="36"/>
        </w:rPr>
        <w:t>（一）管理制度不够完善</w:t>
      </w:r>
    </w:p>
    <w:p w14:paraId="5F7DF9B6">
      <w:pPr>
        <w:ind w:firstLine="640" w:firstLineChars="200"/>
        <w:jc w:val="left"/>
        <w:rPr>
          <w:rFonts w:ascii="仿宋_GB2312" w:hAnsi="黑体" w:eastAsia="仿宋_GB2312"/>
          <w:sz w:val="32"/>
          <w:szCs w:val="36"/>
        </w:rPr>
      </w:pPr>
      <w:r>
        <w:rPr>
          <w:rFonts w:hint="eastAsia" w:ascii="仿宋_GB2312" w:hAnsi="黑体" w:eastAsia="仿宋_GB2312"/>
          <w:sz w:val="32"/>
          <w:szCs w:val="36"/>
        </w:rPr>
        <w:t>在评价过程中，我们查阅了《河南省财政厅河南省教育厅关于印发</w:t>
      </w:r>
      <w:r>
        <w:rPr>
          <w:rFonts w:ascii="仿宋_GB2312" w:hAnsi="黑体" w:eastAsia="仿宋_GB2312"/>
          <w:sz w:val="32"/>
          <w:szCs w:val="36"/>
        </w:rPr>
        <w:t>&lt;河南省普通高中国家助学金管理暂行办法&gt;</w:t>
      </w:r>
      <w:r>
        <w:rPr>
          <w:rFonts w:hint="eastAsia" w:ascii="仿宋_GB2312" w:hAnsi="黑体" w:eastAsia="仿宋_GB2312"/>
          <w:sz w:val="32"/>
          <w:szCs w:val="36"/>
        </w:rPr>
        <w:t>的通知》（豫财教〔</w:t>
      </w:r>
      <w:r>
        <w:rPr>
          <w:rFonts w:ascii="仿宋_GB2312" w:hAnsi="黑体" w:eastAsia="仿宋_GB2312"/>
          <w:sz w:val="32"/>
          <w:szCs w:val="36"/>
        </w:rPr>
        <w:t>2010〕399 号）、《周口市教育局关于</w:t>
      </w:r>
      <w:r>
        <w:rPr>
          <w:rFonts w:hint="eastAsia" w:ascii="仿宋_GB2312" w:hAnsi="黑体" w:eastAsia="仿宋_GB2312"/>
          <w:sz w:val="32"/>
          <w:szCs w:val="36"/>
        </w:rPr>
        <w:t>印发</w:t>
      </w:r>
      <w:r>
        <w:rPr>
          <w:rFonts w:ascii="仿宋_GB2312" w:hAnsi="黑体" w:eastAsia="仿宋_GB2312"/>
          <w:sz w:val="32"/>
          <w:szCs w:val="36"/>
        </w:rPr>
        <w:t>&lt;周口市普通高中国家助学金管理实施细则&gt;的通知》</w:t>
      </w:r>
      <w:r>
        <w:rPr>
          <w:rFonts w:hint="eastAsia" w:ascii="仿宋_GB2312" w:hAnsi="黑体" w:eastAsia="仿宋_GB2312"/>
          <w:sz w:val="32"/>
          <w:szCs w:val="36"/>
        </w:rPr>
        <w:t>（教资助〔</w:t>
      </w:r>
      <w:r>
        <w:rPr>
          <w:rFonts w:ascii="仿宋_GB2312" w:hAnsi="黑体" w:eastAsia="仿宋_GB2312"/>
          <w:sz w:val="32"/>
          <w:szCs w:val="36"/>
        </w:rPr>
        <w:t>2015〕331 号）、河南省学生资助管理中心《关</w:t>
      </w:r>
      <w:r>
        <w:rPr>
          <w:rFonts w:hint="eastAsia" w:ascii="仿宋_GB2312" w:hAnsi="黑体" w:eastAsia="仿宋_GB2312"/>
          <w:sz w:val="32"/>
          <w:szCs w:val="36"/>
        </w:rPr>
        <w:t>于国家资助系统使用和精准资助有关问题的通知》（豫教资〔</w:t>
      </w:r>
      <w:r>
        <w:rPr>
          <w:rFonts w:ascii="仿宋_GB2312" w:hAnsi="黑体" w:eastAsia="仿宋_GB2312"/>
          <w:sz w:val="32"/>
          <w:szCs w:val="36"/>
        </w:rPr>
        <w:t>2016〕33 号）等文件，但在有关助学金项目的资金分配管</w:t>
      </w:r>
      <w:r>
        <w:rPr>
          <w:rFonts w:hint="eastAsia" w:ascii="仿宋_GB2312" w:hAnsi="黑体" w:eastAsia="仿宋_GB2312"/>
          <w:sz w:val="32"/>
          <w:szCs w:val="36"/>
        </w:rPr>
        <w:t>理、进度管理、成本管理、质量管理、风险管理、风险防控、监督检查及绩效管理等方面稍显不足，项目管理制度不够完善。</w:t>
      </w:r>
    </w:p>
    <w:p w14:paraId="51F82181">
      <w:pPr>
        <w:ind w:firstLine="640" w:firstLineChars="200"/>
        <w:jc w:val="left"/>
        <w:rPr>
          <w:rFonts w:ascii="仿宋_GB2312" w:hAnsi="黑体" w:eastAsia="仿宋_GB2312"/>
          <w:sz w:val="32"/>
          <w:szCs w:val="36"/>
        </w:rPr>
      </w:pPr>
      <w:r>
        <w:rPr>
          <w:rFonts w:hint="eastAsia" w:ascii="仿宋_GB2312" w:hAnsi="黑体" w:eastAsia="仿宋_GB2312"/>
          <w:sz w:val="32"/>
          <w:szCs w:val="36"/>
        </w:rPr>
        <w:t>（二）项目实施管理有待加强</w:t>
      </w:r>
    </w:p>
    <w:p w14:paraId="09920991">
      <w:pPr>
        <w:ind w:firstLine="640" w:firstLineChars="200"/>
        <w:jc w:val="left"/>
        <w:rPr>
          <w:rFonts w:ascii="仿宋_GB2312" w:hAnsi="黑体" w:eastAsia="仿宋_GB2312"/>
          <w:sz w:val="32"/>
          <w:szCs w:val="36"/>
        </w:rPr>
      </w:pPr>
      <w:r>
        <w:rPr>
          <w:rFonts w:hint="eastAsia" w:ascii="仿宋_GB2312" w:hAnsi="黑体" w:eastAsia="仿宋_GB2312"/>
          <w:sz w:val="32"/>
          <w:szCs w:val="36"/>
        </w:rPr>
        <w:t>绩效评价组查看项目实施相关资料，发现项目单位有政策宣讲告知、学校公示、召开会议、监督及档案检查的照片，但未见具体的项目监督检查计划、范围、内容、方案、结果等相关的文件性资料，项目实施过程管理需进一步</w:t>
      </w:r>
      <w:bookmarkStart w:id="0" w:name="_GoBack"/>
      <w:bookmarkEnd w:id="0"/>
      <w:r>
        <w:rPr>
          <w:rFonts w:hint="eastAsia" w:ascii="仿宋_GB2312" w:hAnsi="黑体" w:eastAsia="仿宋_GB2312"/>
          <w:sz w:val="32"/>
          <w:szCs w:val="36"/>
        </w:rPr>
        <w:t>规范。</w:t>
      </w:r>
    </w:p>
    <w:p w14:paraId="4285B5ED">
      <w:pPr>
        <w:ind w:firstLine="640" w:firstLineChars="200"/>
        <w:jc w:val="left"/>
        <w:rPr>
          <w:rFonts w:ascii="仿宋_GB2312" w:hAnsi="黑体" w:eastAsia="仿宋_GB2312"/>
          <w:sz w:val="32"/>
          <w:szCs w:val="36"/>
        </w:rPr>
      </w:pPr>
      <w:r>
        <w:rPr>
          <w:rFonts w:hint="eastAsia" w:ascii="仿宋_GB2312" w:hAnsi="黑体" w:eastAsia="仿宋_GB2312"/>
          <w:sz w:val="32"/>
          <w:szCs w:val="36"/>
        </w:rPr>
        <w:t>（三）绩效管理意识不强</w:t>
      </w:r>
    </w:p>
    <w:p w14:paraId="30A5EAB8">
      <w:pPr>
        <w:ind w:firstLine="640" w:firstLineChars="200"/>
        <w:jc w:val="left"/>
        <w:rPr>
          <w:rFonts w:ascii="仿宋_GB2312" w:hAnsi="黑体" w:eastAsia="仿宋_GB2312"/>
          <w:sz w:val="32"/>
          <w:szCs w:val="36"/>
        </w:rPr>
      </w:pPr>
      <w:r>
        <w:rPr>
          <w:rFonts w:hint="eastAsia" w:ascii="仿宋_GB2312" w:hAnsi="黑体" w:eastAsia="仿宋_GB2312"/>
          <w:sz w:val="32"/>
          <w:szCs w:val="36"/>
        </w:rPr>
        <w:t>部分绩效评价指标设定不够清晰、细化、可衡量。</w:t>
      </w:r>
      <w:r>
        <w:rPr>
          <w:rFonts w:ascii="仿宋_GB2312" w:hAnsi="黑体" w:eastAsia="仿宋_GB2312"/>
          <w:sz w:val="32"/>
          <w:szCs w:val="36"/>
        </w:rPr>
        <w:t>2022</w:t>
      </w:r>
      <w:r>
        <w:rPr>
          <w:rFonts w:hint="eastAsia" w:ascii="仿宋_GB2312" w:hAnsi="黑体" w:eastAsia="仿宋_GB2312"/>
          <w:sz w:val="32"/>
          <w:szCs w:val="36"/>
        </w:rPr>
        <w:t>年度绩效评价指标设定的数量指标为普通高中国家助学金受助学生占应受助学生数的比例</w:t>
      </w:r>
      <w:r>
        <w:rPr>
          <w:rFonts w:ascii="仿宋_GB2312" w:hAnsi="黑体" w:eastAsia="仿宋_GB2312"/>
          <w:sz w:val="32"/>
          <w:szCs w:val="36"/>
        </w:rPr>
        <w:t>100%，未设定助学金计划发</w:t>
      </w:r>
      <w:r>
        <w:rPr>
          <w:rFonts w:hint="eastAsia" w:ascii="仿宋_GB2312" w:hAnsi="黑体" w:eastAsia="仿宋_GB2312"/>
          <w:sz w:val="32"/>
          <w:szCs w:val="36"/>
        </w:rPr>
        <w:t>放人数等资助覆盖率指标。服务对象满意度指标未有效实施，普通高中助学金项目绩效目标表学生、家长抽样调查满意度设定为不低于</w:t>
      </w:r>
      <w:r>
        <w:rPr>
          <w:rFonts w:ascii="仿宋_GB2312" w:hAnsi="黑体" w:eastAsia="仿宋_GB2312"/>
          <w:sz w:val="32"/>
          <w:szCs w:val="36"/>
        </w:rPr>
        <w:t>85%，自评实际完成值为98%，经询问，2022 年由于疫情原因项目单位未集中做抽样调查，仅采取了</w:t>
      </w:r>
      <w:r>
        <w:rPr>
          <w:rFonts w:hint="eastAsia" w:ascii="仿宋_GB2312" w:hAnsi="黑体" w:eastAsia="仿宋_GB2312"/>
          <w:sz w:val="32"/>
          <w:szCs w:val="36"/>
        </w:rPr>
        <w:t>电话随访等方式进行了调查，完成值依据不够充分，也未能有效发现项目执行中存在的问题。项目单位未针对项目实施、绩效目标完成情况及存在的问题等形成绩效评价报告。</w:t>
      </w:r>
    </w:p>
    <w:p w14:paraId="682A6D1B">
      <w:pPr>
        <w:ind w:firstLine="640" w:firstLineChars="200"/>
        <w:jc w:val="left"/>
        <w:rPr>
          <w:rFonts w:ascii="黑体" w:hAnsi="黑体" w:eastAsia="黑体"/>
          <w:sz w:val="32"/>
          <w:szCs w:val="36"/>
        </w:rPr>
      </w:pPr>
      <w:r>
        <w:rPr>
          <w:rFonts w:hint="eastAsia" w:ascii="黑体" w:hAnsi="黑体" w:eastAsia="黑体"/>
          <w:sz w:val="32"/>
          <w:szCs w:val="36"/>
        </w:rPr>
        <w:t>四、有关建议</w:t>
      </w:r>
    </w:p>
    <w:p w14:paraId="7C4BC32D">
      <w:pPr>
        <w:ind w:firstLine="643" w:firstLineChars="200"/>
        <w:jc w:val="left"/>
        <w:rPr>
          <w:rFonts w:ascii="仿宋_GB2312" w:hAnsi="黑体" w:eastAsia="仿宋_GB2312"/>
          <w:b/>
          <w:bCs/>
          <w:sz w:val="32"/>
          <w:szCs w:val="36"/>
        </w:rPr>
      </w:pPr>
      <w:r>
        <w:rPr>
          <w:rFonts w:hint="eastAsia" w:ascii="仿宋_GB2312" w:hAnsi="黑体" w:eastAsia="仿宋_GB2312"/>
          <w:b/>
          <w:bCs/>
          <w:sz w:val="32"/>
          <w:szCs w:val="36"/>
        </w:rPr>
        <w:t>（一）完善项目管理制度</w:t>
      </w:r>
    </w:p>
    <w:p w14:paraId="1F308635">
      <w:pPr>
        <w:ind w:firstLine="640" w:firstLineChars="200"/>
        <w:jc w:val="left"/>
        <w:rPr>
          <w:rFonts w:ascii="仿宋_GB2312" w:hAnsi="黑体" w:eastAsia="仿宋_GB2312"/>
          <w:sz w:val="32"/>
          <w:szCs w:val="36"/>
        </w:rPr>
      </w:pPr>
      <w:r>
        <w:rPr>
          <w:rFonts w:hint="eastAsia" w:ascii="仿宋_GB2312" w:hAnsi="黑体" w:eastAsia="仿宋_GB2312"/>
          <w:sz w:val="32"/>
          <w:szCs w:val="36"/>
        </w:rPr>
        <w:t>完善有关普通高中助学金项目资金分配管理、进度管理、成本管理、质量管理、风险管理、参与者职责、风险防控、监督检查及绩效管理等制度，确保资助工作科学、规范、公平、公正，以利于各部门、各环节、全过程开展工作，做到有章可循，有法可依。</w:t>
      </w:r>
    </w:p>
    <w:p w14:paraId="4FA6A5C8">
      <w:pPr>
        <w:ind w:firstLine="643" w:firstLineChars="200"/>
        <w:jc w:val="left"/>
        <w:rPr>
          <w:rFonts w:ascii="仿宋_GB2312" w:hAnsi="黑体" w:eastAsia="仿宋_GB2312"/>
          <w:b/>
          <w:bCs/>
          <w:sz w:val="32"/>
          <w:szCs w:val="36"/>
        </w:rPr>
      </w:pPr>
      <w:r>
        <w:rPr>
          <w:rFonts w:hint="eastAsia" w:ascii="仿宋_GB2312" w:hAnsi="黑体" w:eastAsia="仿宋_GB2312"/>
          <w:b/>
          <w:bCs/>
          <w:sz w:val="32"/>
          <w:szCs w:val="36"/>
        </w:rPr>
        <w:t>（二）提高财政绩效管理意识，加强日常业务监督管理</w:t>
      </w:r>
    </w:p>
    <w:p w14:paraId="64A2C52A">
      <w:pPr>
        <w:ind w:firstLine="640" w:firstLineChars="200"/>
        <w:jc w:val="left"/>
        <w:rPr>
          <w:rFonts w:ascii="仿宋_GB2312" w:hAnsi="黑体" w:eastAsia="仿宋_GB2312"/>
          <w:sz w:val="32"/>
          <w:szCs w:val="36"/>
        </w:rPr>
      </w:pPr>
      <w:r>
        <w:rPr>
          <w:rFonts w:hint="eastAsia" w:ascii="仿宋_GB2312" w:hAnsi="黑体" w:eastAsia="仿宋_GB2312"/>
          <w:sz w:val="32"/>
          <w:szCs w:val="36"/>
        </w:rPr>
        <w:t>进一步增强绩效管理责任约束机制，明确绩效管理的责任主体，全流程、多举措优化助学金资金项目日常监督管理工作，加强实施过程相关资料管理。建立健全责任追究制度，落实主体责任，对财政预算资金的使用效益负责。设立举报投诉平台，长期受理群众的举报投诉，广泛接受群众监督。</w:t>
      </w:r>
    </w:p>
    <w:p w14:paraId="73A6A468">
      <w:pPr>
        <w:ind w:firstLine="643" w:firstLineChars="200"/>
        <w:jc w:val="left"/>
        <w:rPr>
          <w:rFonts w:ascii="仿宋_GB2312" w:hAnsi="黑体" w:eastAsia="仿宋_GB2312"/>
          <w:b/>
          <w:bCs/>
          <w:sz w:val="32"/>
          <w:szCs w:val="36"/>
        </w:rPr>
      </w:pPr>
      <w:r>
        <w:rPr>
          <w:rFonts w:hint="eastAsia" w:ascii="仿宋_GB2312" w:hAnsi="黑体" w:eastAsia="仿宋_GB2312"/>
          <w:b/>
          <w:bCs/>
          <w:sz w:val="32"/>
          <w:szCs w:val="36"/>
        </w:rPr>
        <w:t>（三）加强对资助管理人员的业务培训，加大政策宣传力度</w:t>
      </w:r>
    </w:p>
    <w:p w14:paraId="02BFC690">
      <w:pPr>
        <w:ind w:firstLine="640" w:firstLineChars="200"/>
        <w:jc w:val="left"/>
        <w:rPr>
          <w:rFonts w:ascii="仿宋_GB2312" w:hAnsi="黑体" w:eastAsia="仿宋_GB2312"/>
          <w:sz w:val="32"/>
          <w:szCs w:val="36"/>
        </w:rPr>
      </w:pPr>
      <w:r>
        <w:rPr>
          <w:rFonts w:hint="eastAsia" w:ascii="仿宋_GB2312" w:hAnsi="黑体" w:eastAsia="仿宋_GB2312"/>
          <w:sz w:val="32"/>
          <w:szCs w:val="36"/>
        </w:rPr>
        <w:t>加强对资助管理人员的业务培训，要求工作人员熟练掌握国家和省级的资助政策、工作流程和工作要求，熟练使用操作信息管理系统，不断提升工作人员的业务能力。准确把握相关政策，通过多种形式开展政策解读和宣传工作，使这项惠民政策家喻户晓，让广大师生和家长及时了解受资助的权益，为完善国家助学金制度创造良好的社会氛围。</w:t>
      </w:r>
    </w:p>
    <w:p w14:paraId="2AB6540F">
      <w:pPr>
        <w:ind w:firstLine="640" w:firstLineChars="200"/>
        <w:jc w:val="left"/>
        <w:rPr>
          <w:rFonts w:ascii="仿宋_GB2312" w:hAnsi="黑体" w:eastAsia="仿宋_GB2312"/>
          <w:sz w:val="32"/>
          <w:szCs w:val="36"/>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A4D"/>
    <w:rsid w:val="001C7409"/>
    <w:rsid w:val="001F221C"/>
    <w:rsid w:val="003E2B3C"/>
    <w:rsid w:val="003F7186"/>
    <w:rsid w:val="00695A4D"/>
    <w:rsid w:val="00C3499C"/>
    <w:rsid w:val="00D26C48"/>
    <w:rsid w:val="00F705D5"/>
    <w:rsid w:val="39D44A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sz w:val="18"/>
      <w:szCs w:val="18"/>
    </w:rPr>
  </w:style>
  <w:style w:type="paragraph" w:styleId="3">
    <w:name w:val="header"/>
    <w:basedOn w:val="1"/>
    <w:link w:val="7"/>
    <w:unhideWhenUsed/>
    <w:uiPriority w:val="99"/>
    <w:pPr>
      <w:tabs>
        <w:tab w:val="center" w:pos="4153"/>
        <w:tab w:val="right" w:pos="8306"/>
      </w:tabs>
      <w:snapToGrid w:val="0"/>
      <w:jc w:val="center"/>
    </w:pPr>
    <w:rPr>
      <w:sz w:val="18"/>
      <w:szCs w:val="18"/>
    </w:rPr>
  </w:style>
  <w:style w:type="paragraph" w:styleId="6">
    <w:name w:val="List Paragraph"/>
    <w:basedOn w:val="1"/>
    <w:qFormat/>
    <w:uiPriority w:val="34"/>
    <w:pPr>
      <w:ind w:firstLine="420" w:firstLineChars="200"/>
    </w:pPr>
  </w:style>
  <w:style w:type="character" w:customStyle="1" w:styleId="7">
    <w:name w:val="页眉 字符"/>
    <w:basedOn w:val="5"/>
    <w:link w:val="3"/>
    <w:uiPriority w:val="99"/>
    <w:rPr>
      <w:sz w:val="18"/>
      <w:szCs w:val="18"/>
    </w:rPr>
  </w:style>
  <w:style w:type="character" w:customStyle="1" w:styleId="8">
    <w:name w:val="页脚 字符"/>
    <w:basedOn w:val="5"/>
    <w:link w:val="2"/>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2022</Words>
  <Characters>2109</Characters>
  <Lines>15</Lines>
  <Paragraphs>4</Paragraphs>
  <TotalTime>1</TotalTime>
  <ScaleCrop>false</ScaleCrop>
  <LinksUpToDate>false</LinksUpToDate>
  <CharactersWithSpaces>2123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2024-01-27T07:41:00Z</dcterms:created>
  <dc:creator>417922661@qq.com</dc:creator>
  <cp:lastModifiedBy>钮衣谷琉</cp:lastModifiedBy>
  <dcterms:modified xsi:type="dcterms:W3CDTF">2026-07-16T02:44:54Z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eyJoZGlkIjoiM2NhYTJhNmY3NzE0YmYzODMzNGNkMThmZTY5MDgzOTIiLCJ1c2VySWQiOiIyNDc2ODMxNzUifQ==</vt:lpwstr>
  </property>
  <property fmtid="{D5CDD505-2E9C-101B-9397-08002B2CF9AE}" pid="3" name="KSOProductBuildVer">
    <vt:lpwstr>2052-12.1.0.26895</vt:lpwstr>
  </property>
  <property fmtid="{D5CDD505-2E9C-101B-9397-08002B2CF9AE}" pid="4" name="ICV">
    <vt:lpwstr>BAC20430A3FC46E08AB55CB3C272BA92_13</vt:lpwstr>
  </property>
</Properties>
</file>